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13DB" w14:textId="77777777" w:rsidR="005331CD" w:rsidRDefault="005331CD" w:rsidP="005331CD">
      <w:pPr>
        <w:jc w:val="center"/>
        <w:rPr>
          <w:rFonts w:ascii="Verdana" w:eastAsia="Calibri" w:hAnsi="Verdana" w:cs="Calibri"/>
          <w:b/>
        </w:rPr>
      </w:pPr>
      <w:bookmarkStart w:id="0" w:name="_Hlk48319849"/>
      <w:bookmarkEnd w:id="0"/>
    </w:p>
    <w:p w14:paraId="62A1B912" w14:textId="77777777" w:rsidR="005331CD" w:rsidRDefault="005331CD" w:rsidP="005331CD">
      <w:pPr>
        <w:jc w:val="center"/>
        <w:rPr>
          <w:rFonts w:ascii="Verdana" w:eastAsia="Calibri" w:hAnsi="Verdana" w:cs="Calibri"/>
          <w:b/>
        </w:rPr>
      </w:pPr>
    </w:p>
    <w:p w14:paraId="1CF00E37" w14:textId="77777777" w:rsidR="005331CD" w:rsidRDefault="005331CD" w:rsidP="005331CD">
      <w:pPr>
        <w:jc w:val="center"/>
        <w:rPr>
          <w:rFonts w:ascii="Verdana" w:eastAsia="Calibri" w:hAnsi="Verdana" w:cs="Calibri"/>
          <w:b/>
        </w:rPr>
      </w:pPr>
    </w:p>
    <w:p w14:paraId="71EF2992" w14:textId="77777777" w:rsidR="005331CD" w:rsidRDefault="005331CD" w:rsidP="005331CD">
      <w:pPr>
        <w:jc w:val="center"/>
        <w:rPr>
          <w:rFonts w:ascii="Verdana" w:eastAsia="Calibri" w:hAnsi="Verdana" w:cs="Calibri"/>
          <w:b/>
        </w:rPr>
      </w:pPr>
    </w:p>
    <w:p w14:paraId="3F232211" w14:textId="77777777" w:rsidR="005331CD" w:rsidRDefault="005331CD" w:rsidP="005331CD">
      <w:pPr>
        <w:jc w:val="center"/>
        <w:rPr>
          <w:rFonts w:ascii="Verdana" w:eastAsia="Calibri" w:hAnsi="Verdana" w:cs="Calibri"/>
          <w:b/>
        </w:rPr>
      </w:pPr>
    </w:p>
    <w:p w14:paraId="191D2F44" w14:textId="77777777" w:rsidR="005331CD" w:rsidRDefault="005331CD" w:rsidP="005331CD">
      <w:pPr>
        <w:jc w:val="center"/>
        <w:rPr>
          <w:rFonts w:ascii="Verdana" w:eastAsia="Calibri" w:hAnsi="Verdana" w:cs="Calibri"/>
          <w:b/>
        </w:rPr>
      </w:pPr>
    </w:p>
    <w:p w14:paraId="2494D170" w14:textId="5122CE48" w:rsidR="005331CD" w:rsidRDefault="005331CD" w:rsidP="005331CD">
      <w:pPr>
        <w:jc w:val="center"/>
        <w:rPr>
          <w:rFonts w:ascii="Verdana" w:eastAsia="Calibri" w:hAnsi="Verdana" w:cs="Calibri"/>
          <w:b/>
          <w:sz w:val="48"/>
          <w:szCs w:val="48"/>
        </w:rPr>
      </w:pPr>
      <w:r w:rsidRPr="0079114C">
        <w:rPr>
          <w:rFonts w:ascii="Verdana" w:eastAsia="Calibri" w:hAnsi="Verdana" w:cs="Calibri"/>
          <w:b/>
          <w:sz w:val="48"/>
          <w:szCs w:val="48"/>
        </w:rPr>
        <w:t>CDR Policy Requirements</w:t>
      </w:r>
      <w:r w:rsidR="00A8579A">
        <w:rPr>
          <w:rFonts w:ascii="Verdana" w:eastAsia="Calibri" w:hAnsi="Verdana" w:cs="Calibri"/>
          <w:b/>
          <w:sz w:val="48"/>
          <w:szCs w:val="48"/>
        </w:rPr>
        <w:t xml:space="preserve"> </w:t>
      </w:r>
      <w:r w:rsidR="00A8579A">
        <w:rPr>
          <w:rFonts w:ascii="Verdana" w:eastAsia="Calibri" w:hAnsi="Verdana" w:cs="Calibri"/>
          <w:b/>
          <w:sz w:val="48"/>
          <w:szCs w:val="48"/>
        </w:rPr>
        <w:br/>
        <w:t>Cross-Reference Matrix</w:t>
      </w:r>
    </w:p>
    <w:p w14:paraId="3F5087B5" w14:textId="0F7305A5" w:rsidR="00A8579A" w:rsidRDefault="00A8579A" w:rsidP="005331CD">
      <w:pPr>
        <w:jc w:val="center"/>
        <w:rPr>
          <w:rFonts w:ascii="Verdana" w:eastAsia="Calibri" w:hAnsi="Verdana" w:cs="Calibri"/>
          <w:b/>
          <w:sz w:val="48"/>
          <w:szCs w:val="48"/>
        </w:rPr>
      </w:pPr>
    </w:p>
    <w:tbl>
      <w:tblPr>
        <w:tblStyle w:val="TableGrid"/>
        <w:tblW w:w="0" w:type="auto"/>
        <w:tblLook w:val="04A0" w:firstRow="1" w:lastRow="0" w:firstColumn="1" w:lastColumn="0" w:noHBand="0" w:noVBand="1"/>
      </w:tblPr>
      <w:tblGrid>
        <w:gridCol w:w="9016"/>
      </w:tblGrid>
      <w:tr w:rsidR="00A8579A" w:rsidRPr="00EF7435" w14:paraId="2784D0D4" w14:textId="77777777" w:rsidTr="00EF7435">
        <w:tc>
          <w:tcPr>
            <w:tcW w:w="9016" w:type="dxa"/>
            <w:shd w:val="clear" w:color="auto" w:fill="F7CAAC" w:themeFill="accent2" w:themeFillTint="66"/>
            <w:tcMar>
              <w:top w:w="85" w:type="dxa"/>
              <w:bottom w:w="85" w:type="dxa"/>
            </w:tcMar>
          </w:tcPr>
          <w:p w14:paraId="25C8E84E" w14:textId="64A94660" w:rsidR="00A8579A" w:rsidRPr="00EF7435" w:rsidRDefault="00A8579A" w:rsidP="00EF7435">
            <w:pPr>
              <w:jc w:val="center"/>
              <w:rPr>
                <w:rFonts w:ascii="Verdana" w:eastAsia="Calibri" w:hAnsi="Verdana" w:cs="Calibri"/>
                <w:bCs/>
                <w:sz w:val="28"/>
                <w:szCs w:val="28"/>
              </w:rPr>
            </w:pPr>
            <w:r w:rsidRPr="00EF7435">
              <w:rPr>
                <w:rFonts w:ascii="Verdana" w:eastAsia="Calibri" w:hAnsi="Verdana" w:cs="Calibri"/>
                <w:bCs/>
                <w:sz w:val="28"/>
                <w:szCs w:val="28"/>
              </w:rPr>
              <w:t>Disclaimer: The information in this document is provided “as is” with no guarantee of completeness</w:t>
            </w:r>
          </w:p>
        </w:tc>
      </w:tr>
    </w:tbl>
    <w:p w14:paraId="4AAC4B14" w14:textId="77777777" w:rsidR="00A8579A" w:rsidRPr="0079114C" w:rsidRDefault="00A8579A" w:rsidP="005331CD">
      <w:pPr>
        <w:jc w:val="center"/>
        <w:rPr>
          <w:rFonts w:ascii="Verdana" w:eastAsia="Calibri" w:hAnsi="Verdana" w:cs="Calibri"/>
          <w:b/>
          <w:sz w:val="48"/>
          <w:szCs w:val="48"/>
        </w:rPr>
      </w:pPr>
    </w:p>
    <w:p w14:paraId="79711F73" w14:textId="4CFDBFB2" w:rsidR="00A8579A" w:rsidRPr="00EF7435" w:rsidRDefault="00A8579A" w:rsidP="00A8579A">
      <w:pPr>
        <w:jc w:val="center"/>
        <w:rPr>
          <w:rFonts w:ascii="Verdana" w:eastAsia="Calibri" w:hAnsi="Verdana" w:cs="Calibri"/>
          <w:bCs/>
          <w:sz w:val="36"/>
          <w:szCs w:val="36"/>
        </w:rPr>
      </w:pPr>
      <w:r w:rsidRPr="00EF7435">
        <w:rPr>
          <w:rFonts w:ascii="Verdana" w:eastAsia="Calibri" w:hAnsi="Verdana" w:cs="Calibri"/>
          <w:bCs/>
          <w:sz w:val="28"/>
          <w:szCs w:val="28"/>
        </w:rPr>
        <w:t xml:space="preserve">Provided by Regional Australia Bank </w:t>
      </w:r>
      <w:r w:rsidR="00EF7435">
        <w:rPr>
          <w:rFonts w:ascii="Verdana" w:eastAsia="Calibri" w:hAnsi="Verdana" w:cs="Calibri"/>
          <w:bCs/>
          <w:sz w:val="28"/>
          <w:szCs w:val="28"/>
        </w:rPr>
        <w:br/>
      </w:r>
      <w:r w:rsidRPr="00EF7435">
        <w:rPr>
          <w:rFonts w:ascii="Verdana" w:eastAsia="Calibri" w:hAnsi="Verdana" w:cs="Calibri"/>
          <w:bCs/>
          <w:sz w:val="28"/>
          <w:szCs w:val="28"/>
        </w:rPr>
        <w:t>to the CDR Community in August 2020</w:t>
      </w:r>
    </w:p>
    <w:p w14:paraId="788AEB5C" w14:textId="2F0757DE" w:rsidR="0079114C" w:rsidRDefault="0079114C" w:rsidP="0079114C">
      <w:pPr>
        <w:jc w:val="center"/>
        <w:rPr>
          <w:rFonts w:ascii="Verdana" w:eastAsia="Calibri" w:hAnsi="Verdana" w:cs="Calibri"/>
          <w:b/>
        </w:rPr>
      </w:pPr>
      <w:r>
        <w:rPr>
          <w:rFonts w:ascii="Verdana" w:eastAsia="Calibri" w:hAnsi="Verdana" w:cs="Calibri"/>
          <w:b/>
        </w:rPr>
        <w:t xml:space="preserve">Last updated: </w:t>
      </w:r>
      <w:r w:rsidR="00644BD0">
        <w:rPr>
          <w:rFonts w:ascii="Verdana" w:eastAsia="Calibri" w:hAnsi="Verdana" w:cs="Calibri"/>
          <w:b/>
        </w:rPr>
        <w:t>15 August</w:t>
      </w:r>
      <w:r>
        <w:rPr>
          <w:rFonts w:ascii="Verdana" w:eastAsia="Calibri" w:hAnsi="Verdana" w:cs="Calibri"/>
          <w:b/>
        </w:rPr>
        <w:t xml:space="preserve"> 2020</w:t>
      </w:r>
    </w:p>
    <w:p w14:paraId="24EB70B4" w14:textId="77777777" w:rsidR="0079114C" w:rsidRDefault="0079114C">
      <w:pPr>
        <w:rPr>
          <w:rFonts w:ascii="Verdana" w:eastAsia="Calibri" w:hAnsi="Verdana" w:cs="Calibri"/>
          <w:b/>
        </w:rPr>
      </w:pPr>
      <w:r>
        <w:rPr>
          <w:rFonts w:ascii="Verdana" w:eastAsia="Calibri" w:hAnsi="Verdana" w:cs="Calibri"/>
          <w:b/>
        </w:rPr>
        <w:br w:type="page"/>
      </w:r>
    </w:p>
    <w:p w14:paraId="7F858B6F" w14:textId="45624F36" w:rsidR="64F97F21" w:rsidRPr="00B40BA5" w:rsidRDefault="005C640D" w:rsidP="00B40BA5">
      <w:pPr>
        <w:jc w:val="center"/>
        <w:rPr>
          <w:rFonts w:ascii="Verdana" w:eastAsia="Calibri" w:hAnsi="Verdana" w:cs="Calibri"/>
          <w:b/>
        </w:rPr>
      </w:pPr>
      <w:r>
        <w:rPr>
          <w:rFonts w:ascii="Verdana" w:eastAsia="Calibri" w:hAnsi="Verdana" w:cs="Calibri"/>
          <w:b/>
        </w:rPr>
        <w:lastRenderedPageBreak/>
        <w:t>Known Requirements for C</w:t>
      </w:r>
      <w:r w:rsidR="0019247B">
        <w:rPr>
          <w:rFonts w:ascii="Verdana" w:eastAsia="Calibri" w:hAnsi="Verdana" w:cs="Calibri"/>
          <w:b/>
        </w:rPr>
        <w:t>DR Policy Development</w:t>
      </w:r>
      <w:r w:rsidR="00A8579A">
        <w:rPr>
          <w:rFonts w:ascii="Verdana" w:eastAsia="Calibri" w:hAnsi="Verdana" w:cs="Calibri"/>
          <w:b/>
        </w:rPr>
        <w:t xml:space="preserve"> </w:t>
      </w:r>
    </w:p>
    <w:p w14:paraId="037BD830" w14:textId="65C0FF20" w:rsidR="0002541E" w:rsidRPr="00791489" w:rsidRDefault="0002541E" w:rsidP="0002541E">
      <w:pPr>
        <w:pBdr>
          <w:bottom w:val="single" w:sz="4" w:space="1" w:color="auto"/>
        </w:pBdr>
        <w:rPr>
          <w:rFonts w:ascii="Calibri" w:eastAsia="Calibri" w:hAnsi="Calibri" w:cs="Calibri"/>
          <w:sz w:val="20"/>
        </w:rPr>
      </w:pPr>
    </w:p>
    <w:p w14:paraId="38086C5B" w14:textId="02D2EAA1" w:rsidR="0002541E" w:rsidRPr="00B40BA5" w:rsidRDefault="00644BD0" w:rsidP="0002541E">
      <w:pPr>
        <w:rPr>
          <w:rFonts w:ascii="Verdana" w:eastAsia="Calibri" w:hAnsi="Verdana" w:cs="Calibri"/>
          <w:b/>
          <w:sz w:val="18"/>
        </w:rPr>
      </w:pPr>
      <w:r>
        <w:rPr>
          <w:rFonts w:ascii="Verdana" w:eastAsia="Calibri" w:hAnsi="Verdana" w:cs="Calibri"/>
          <w:b/>
          <w:sz w:val="18"/>
        </w:rPr>
        <w:t>Document Purpose</w:t>
      </w:r>
    </w:p>
    <w:p w14:paraId="13BF3489" w14:textId="063090FF" w:rsidR="004E55CB" w:rsidRDefault="00644BD0" w:rsidP="00F30605">
      <w:pPr>
        <w:spacing w:before="120" w:after="120"/>
        <w:ind w:right="-12"/>
        <w:rPr>
          <w:rFonts w:ascii="Verdana" w:hAnsi="Verdana"/>
          <w:color w:val="231F20"/>
          <w:sz w:val="18"/>
        </w:rPr>
      </w:pPr>
      <w:r>
        <w:rPr>
          <w:rFonts w:ascii="Verdana" w:hAnsi="Verdana"/>
          <w:color w:val="231F20"/>
          <w:sz w:val="18"/>
        </w:rPr>
        <w:t xml:space="preserve">This document is intended to be used as a </w:t>
      </w:r>
      <w:r w:rsidR="00EF7435">
        <w:rPr>
          <w:rFonts w:ascii="Verdana" w:hAnsi="Verdana"/>
          <w:color w:val="231F20"/>
          <w:sz w:val="18"/>
        </w:rPr>
        <w:t xml:space="preserve">starter </w:t>
      </w:r>
      <w:r>
        <w:rPr>
          <w:rFonts w:ascii="Verdana" w:hAnsi="Verdana"/>
          <w:color w:val="231F20"/>
          <w:sz w:val="18"/>
        </w:rPr>
        <w:t>mechanism</w:t>
      </w:r>
      <w:r w:rsidR="00AC20F8">
        <w:rPr>
          <w:rFonts w:ascii="Verdana" w:hAnsi="Verdana"/>
          <w:color w:val="231F20"/>
          <w:sz w:val="18"/>
        </w:rPr>
        <w:t xml:space="preserve"> for CDR participants</w:t>
      </w:r>
      <w:r>
        <w:rPr>
          <w:rFonts w:ascii="Verdana" w:hAnsi="Verdana"/>
          <w:color w:val="231F20"/>
          <w:sz w:val="18"/>
        </w:rPr>
        <w:t xml:space="preserve"> to </w:t>
      </w:r>
      <w:r w:rsidR="00A8579A">
        <w:rPr>
          <w:rFonts w:ascii="Verdana" w:hAnsi="Verdana"/>
          <w:color w:val="231F20"/>
          <w:sz w:val="18"/>
        </w:rPr>
        <w:t>help</w:t>
      </w:r>
      <w:r w:rsidR="00EF7435">
        <w:rPr>
          <w:rFonts w:ascii="Verdana" w:hAnsi="Verdana"/>
          <w:color w:val="231F20"/>
          <w:sz w:val="18"/>
        </w:rPr>
        <w:t xml:space="preserve"> understand,</w:t>
      </w:r>
      <w:r w:rsidR="00A8579A">
        <w:rPr>
          <w:rFonts w:ascii="Verdana" w:hAnsi="Verdana"/>
          <w:color w:val="231F20"/>
          <w:sz w:val="18"/>
        </w:rPr>
        <w:t xml:space="preserve"> </w:t>
      </w:r>
      <w:r>
        <w:rPr>
          <w:rFonts w:ascii="Verdana" w:hAnsi="Verdana"/>
          <w:color w:val="231F20"/>
          <w:sz w:val="18"/>
        </w:rPr>
        <w:t>track, confirm and communicate compliance with known obligations in respect of CDR Policy development.  It covers obligations defined in the CDR Rules, the CDR Rules Explanatory Statement and the Act</w:t>
      </w:r>
      <w:r w:rsidR="00AC20F8">
        <w:rPr>
          <w:rFonts w:ascii="Verdana" w:hAnsi="Verdana"/>
          <w:color w:val="231F20"/>
          <w:sz w:val="18"/>
        </w:rPr>
        <w:t>.</w:t>
      </w:r>
      <w:r w:rsidR="00EF7435">
        <w:rPr>
          <w:rFonts w:ascii="Verdana" w:hAnsi="Verdana"/>
          <w:color w:val="231F20"/>
          <w:sz w:val="18"/>
        </w:rPr>
        <w:t xml:space="preserve">  It was used by Regional Australia Bank to develop a CDR policy as an early participant of the Australian CDR in July 2020.</w:t>
      </w:r>
    </w:p>
    <w:p w14:paraId="10374116" w14:textId="3FCBAA99" w:rsidR="00ED6442" w:rsidRDefault="00ED6442" w:rsidP="00F30605">
      <w:pPr>
        <w:spacing w:before="120" w:after="120"/>
        <w:ind w:right="-12"/>
        <w:rPr>
          <w:rFonts w:ascii="Verdana" w:hAnsi="Verdana"/>
          <w:color w:val="231F20"/>
          <w:sz w:val="18"/>
        </w:rPr>
      </w:pPr>
      <w:r>
        <w:rPr>
          <w:rFonts w:ascii="Verdana" w:hAnsi="Verdana"/>
          <w:color w:val="231F20"/>
          <w:sz w:val="18"/>
        </w:rPr>
        <w:t>The outcome of this work is available online in interactive and static formats at:</w:t>
      </w:r>
    </w:p>
    <w:p w14:paraId="035C8F32" w14:textId="29DDFFB0" w:rsidR="00ED6442" w:rsidRDefault="00ED6442" w:rsidP="00F30605">
      <w:pPr>
        <w:spacing w:before="120" w:after="120"/>
        <w:ind w:right="-12"/>
        <w:rPr>
          <w:rFonts w:ascii="Verdana" w:hAnsi="Verdana"/>
          <w:color w:val="231F20"/>
          <w:sz w:val="18"/>
        </w:rPr>
      </w:pPr>
      <w:hyperlink r:id="rId10" w:history="1">
        <w:r>
          <w:rPr>
            <w:rStyle w:val="Hyperlink"/>
          </w:rPr>
          <w:t>https://www.regionalaustraliabank.com.au/our-cdr-policy</w:t>
        </w:r>
      </w:hyperlink>
      <w:bookmarkStart w:id="1" w:name="_GoBack"/>
      <w:bookmarkEnd w:id="1"/>
    </w:p>
    <w:p w14:paraId="6EC2240A" w14:textId="77777777" w:rsidR="00A8579A" w:rsidRPr="00791489" w:rsidRDefault="00A8579A" w:rsidP="00A8579A">
      <w:pPr>
        <w:pBdr>
          <w:bottom w:val="single" w:sz="4" w:space="1" w:color="auto"/>
        </w:pBdr>
        <w:rPr>
          <w:rFonts w:ascii="Calibri" w:eastAsia="Calibri" w:hAnsi="Calibri" w:cs="Calibri"/>
          <w:sz w:val="20"/>
        </w:rPr>
      </w:pPr>
    </w:p>
    <w:p w14:paraId="4A05C3E9" w14:textId="5AFA48C8" w:rsidR="00A8579A" w:rsidRPr="00B40BA5" w:rsidRDefault="00A8579A" w:rsidP="00A8579A">
      <w:pPr>
        <w:rPr>
          <w:rFonts w:ascii="Verdana" w:eastAsia="Calibri" w:hAnsi="Verdana" w:cs="Calibri"/>
          <w:b/>
          <w:sz w:val="18"/>
        </w:rPr>
      </w:pPr>
      <w:r>
        <w:rPr>
          <w:rFonts w:ascii="Verdana" w:eastAsia="Calibri" w:hAnsi="Verdana" w:cs="Calibri"/>
          <w:b/>
          <w:sz w:val="18"/>
        </w:rPr>
        <w:t>How to use this document</w:t>
      </w:r>
    </w:p>
    <w:p w14:paraId="52A1DAF5" w14:textId="66C183E1" w:rsidR="00A8579A" w:rsidRDefault="00A8579A" w:rsidP="00A8579A">
      <w:pPr>
        <w:spacing w:before="120" w:after="120"/>
        <w:ind w:right="-12"/>
        <w:rPr>
          <w:rFonts w:ascii="Verdana" w:hAnsi="Verdana"/>
          <w:color w:val="231F20"/>
          <w:sz w:val="18"/>
        </w:rPr>
      </w:pPr>
      <w:r>
        <w:rPr>
          <w:rFonts w:ascii="Verdana" w:hAnsi="Verdana"/>
          <w:color w:val="231F20"/>
          <w:sz w:val="18"/>
        </w:rPr>
        <w:t>Modify the last 3 columns of each of the horizontal-format tables provided below. Update with comments relevant to your CDR use case.  Set the colour and contents of the last 2 columns to allow tracking of those items that require further work or are not complete.</w:t>
      </w:r>
    </w:p>
    <w:p w14:paraId="28ED39E3" w14:textId="5F295AE0" w:rsidR="00EF7435" w:rsidRDefault="00EF7435" w:rsidP="00A8579A">
      <w:pPr>
        <w:spacing w:before="120" w:after="120"/>
        <w:ind w:right="-12"/>
        <w:rPr>
          <w:rFonts w:ascii="Verdana" w:hAnsi="Verdana"/>
          <w:color w:val="231F20"/>
          <w:sz w:val="18"/>
        </w:rPr>
      </w:pPr>
      <w:r>
        <w:rPr>
          <w:rFonts w:ascii="Verdana" w:hAnsi="Verdana"/>
          <w:color w:val="231F20"/>
          <w:sz w:val="18"/>
        </w:rPr>
        <w:t>Comments within the tables below may not apply to</w:t>
      </w:r>
      <w:r>
        <w:rPr>
          <w:rFonts w:ascii="Verdana" w:hAnsi="Verdana"/>
          <w:color w:val="231F20"/>
          <w:sz w:val="18"/>
        </w:rPr>
        <w:t xml:space="preserve"> your individual business circumstances or use case.  They are left in place in the hope that they may assist in some way with understanding.</w:t>
      </w:r>
    </w:p>
    <w:p w14:paraId="7FEB7A7B" w14:textId="77777777" w:rsidR="0002541E" w:rsidRPr="00791489" w:rsidRDefault="0002541E" w:rsidP="0002541E">
      <w:pPr>
        <w:pBdr>
          <w:bottom w:val="single" w:sz="4" w:space="1" w:color="auto"/>
        </w:pBdr>
        <w:rPr>
          <w:rFonts w:ascii="Calibri" w:eastAsia="Calibri" w:hAnsi="Calibri" w:cs="Calibri"/>
          <w:sz w:val="20"/>
        </w:rPr>
      </w:pPr>
    </w:p>
    <w:p w14:paraId="64A98BA3" w14:textId="0CAE09F6" w:rsidR="64F97F21" w:rsidRPr="00B40BA5" w:rsidRDefault="64F97F21" w:rsidP="64F97F21">
      <w:pPr>
        <w:rPr>
          <w:rFonts w:ascii="Verdana" w:eastAsia="Calibri" w:hAnsi="Verdana" w:cs="Calibri"/>
          <w:b/>
          <w:sz w:val="18"/>
        </w:rPr>
      </w:pPr>
      <w:r w:rsidRPr="00B40BA5">
        <w:rPr>
          <w:rFonts w:ascii="Verdana" w:eastAsia="Calibri" w:hAnsi="Verdana" w:cs="Calibri"/>
          <w:b/>
          <w:sz w:val="18"/>
        </w:rPr>
        <w:t>Definitions</w:t>
      </w:r>
    </w:p>
    <w:p w14:paraId="60620308" w14:textId="1C7CD0B1" w:rsidR="64F97F21" w:rsidRPr="00F76AC9" w:rsidRDefault="64F97F21" w:rsidP="00F76AC9">
      <w:pPr>
        <w:spacing w:before="120" w:after="120" w:line="240" w:lineRule="auto"/>
        <w:ind w:right="-12"/>
        <w:rPr>
          <w:rFonts w:ascii="Verdana" w:hAnsi="Verdana"/>
          <w:color w:val="231F20"/>
          <w:sz w:val="18"/>
        </w:rPr>
      </w:pPr>
      <w:r w:rsidRPr="00F76AC9">
        <w:rPr>
          <w:rFonts w:ascii="Verdana" w:hAnsi="Verdana"/>
          <w:b/>
          <w:color w:val="231F20"/>
          <w:sz w:val="18"/>
        </w:rPr>
        <w:t xml:space="preserve">CDR </w:t>
      </w:r>
      <w:r w:rsidR="00F76AC9">
        <w:rPr>
          <w:rFonts w:ascii="Verdana" w:hAnsi="Verdana"/>
          <w:b/>
          <w:color w:val="231F20"/>
          <w:sz w:val="18"/>
        </w:rPr>
        <w:t>P</w:t>
      </w:r>
      <w:r w:rsidRPr="00F76AC9">
        <w:rPr>
          <w:rFonts w:ascii="Verdana" w:hAnsi="Verdana"/>
          <w:b/>
          <w:color w:val="231F20"/>
          <w:sz w:val="18"/>
        </w:rPr>
        <w:t>olicy</w:t>
      </w:r>
      <w:r w:rsidRPr="00F76AC9">
        <w:rPr>
          <w:rFonts w:ascii="Verdana" w:hAnsi="Verdana"/>
          <w:color w:val="231F20"/>
          <w:sz w:val="18"/>
        </w:rPr>
        <w:t xml:space="preserve"> means a policy that a CDR participant has and maintains in compliance with subsection 56ED(3) of the Act.</w:t>
      </w:r>
    </w:p>
    <w:p w14:paraId="65A9D4D8" w14:textId="3716008A" w:rsidR="64F97F21" w:rsidRPr="008F5522" w:rsidRDefault="64F97F21" w:rsidP="00F76AC9">
      <w:pPr>
        <w:spacing w:before="120" w:after="120"/>
        <w:ind w:right="-12"/>
        <w:rPr>
          <w:rFonts w:ascii="Verdana" w:hAnsi="Verdana"/>
          <w:i/>
          <w:color w:val="231F20"/>
          <w:sz w:val="18"/>
        </w:rPr>
      </w:pPr>
      <w:r w:rsidRPr="00F76AC9">
        <w:rPr>
          <w:rFonts w:ascii="Verdana" w:hAnsi="Verdana"/>
          <w:b/>
          <w:color w:val="231F20"/>
          <w:sz w:val="18"/>
        </w:rPr>
        <w:t>Act</w:t>
      </w:r>
      <w:r w:rsidRPr="00F76AC9">
        <w:rPr>
          <w:rFonts w:ascii="Verdana" w:hAnsi="Verdana"/>
          <w:color w:val="231F20"/>
          <w:sz w:val="18"/>
        </w:rPr>
        <w:t xml:space="preserve"> means the Competition and Consumer Act 2010.</w:t>
      </w:r>
      <w:r w:rsidR="00D87927">
        <w:rPr>
          <w:rFonts w:ascii="Verdana" w:hAnsi="Verdana"/>
          <w:color w:val="231F20"/>
          <w:sz w:val="18"/>
        </w:rPr>
        <w:t xml:space="preserve">  </w:t>
      </w:r>
      <w:r w:rsidR="008F5522">
        <w:rPr>
          <w:rFonts w:ascii="Verdana" w:hAnsi="Verdana"/>
          <w:color w:val="231F20"/>
          <w:sz w:val="18"/>
        </w:rPr>
        <w:br/>
      </w:r>
      <w:r w:rsidR="00D87927" w:rsidRPr="008F5522">
        <w:rPr>
          <w:rFonts w:ascii="Verdana" w:hAnsi="Verdana"/>
          <w:i/>
          <w:color w:val="231F20"/>
          <w:sz w:val="18"/>
        </w:rPr>
        <w:t xml:space="preserve">Note the main part we need to be concerned with is </w:t>
      </w:r>
      <w:r w:rsidR="00075527" w:rsidRPr="008F5522">
        <w:rPr>
          <w:rFonts w:ascii="Verdana" w:hAnsi="Verdana"/>
          <w:i/>
          <w:color w:val="231F20"/>
          <w:sz w:val="18"/>
        </w:rPr>
        <w:t>Division 5 – Privacy Safeguards</w:t>
      </w:r>
      <w:r w:rsidR="00D569CE" w:rsidRPr="008F5522">
        <w:rPr>
          <w:rFonts w:ascii="Verdana" w:hAnsi="Verdana"/>
          <w:i/>
          <w:color w:val="231F20"/>
          <w:sz w:val="18"/>
        </w:rPr>
        <w:t xml:space="preserve">, Subdivision A – Preliminary which includes 56EA through </w:t>
      </w:r>
      <w:r w:rsidR="00075527" w:rsidRPr="008F5522">
        <w:rPr>
          <w:rFonts w:ascii="Verdana" w:hAnsi="Verdana"/>
          <w:i/>
          <w:color w:val="231F20"/>
          <w:sz w:val="18"/>
        </w:rPr>
        <w:t>section 56E</w:t>
      </w:r>
      <w:r w:rsidR="00C45AF5" w:rsidRPr="008F5522">
        <w:rPr>
          <w:rFonts w:ascii="Verdana" w:hAnsi="Verdana"/>
          <w:i/>
          <w:color w:val="231F20"/>
          <w:sz w:val="18"/>
        </w:rPr>
        <w:t>Z</w:t>
      </w:r>
      <w:r w:rsidR="00512FB9" w:rsidRPr="008F5522">
        <w:rPr>
          <w:rFonts w:ascii="Verdana" w:hAnsi="Verdana"/>
          <w:i/>
          <w:color w:val="231F20"/>
          <w:sz w:val="18"/>
        </w:rPr>
        <w:t xml:space="preserve"> (pages </w:t>
      </w:r>
      <w:r w:rsidR="008F5522" w:rsidRPr="008F5522">
        <w:rPr>
          <w:rFonts w:ascii="Verdana" w:hAnsi="Verdana"/>
          <w:i/>
          <w:color w:val="231F20"/>
          <w:sz w:val="18"/>
        </w:rPr>
        <w:t>377-406)</w:t>
      </w:r>
    </w:p>
    <w:p w14:paraId="018ED367" w14:textId="5EE8CE7D" w:rsidR="00F76AC9" w:rsidRDefault="00F76AC9" w:rsidP="00F76AC9">
      <w:pPr>
        <w:spacing w:before="120" w:after="120" w:line="240" w:lineRule="auto"/>
        <w:ind w:right="-12"/>
        <w:rPr>
          <w:rFonts w:ascii="Verdana" w:hAnsi="Verdana"/>
          <w:i/>
          <w:color w:val="231F20"/>
          <w:sz w:val="18"/>
        </w:rPr>
      </w:pPr>
      <w:r w:rsidRPr="00F76AC9">
        <w:rPr>
          <w:rFonts w:ascii="Verdana" w:hAnsi="Verdana"/>
          <w:b/>
          <w:color w:val="231F20"/>
          <w:sz w:val="18"/>
        </w:rPr>
        <w:t>Rules</w:t>
      </w:r>
      <w:r>
        <w:rPr>
          <w:rFonts w:ascii="Verdana" w:hAnsi="Verdana"/>
          <w:color w:val="231F20"/>
          <w:sz w:val="18"/>
        </w:rPr>
        <w:t xml:space="preserve"> means the Competition and Consumer (Consumer Data Right) Rules (</w:t>
      </w:r>
      <w:r w:rsidR="00AC20F8">
        <w:rPr>
          <w:rFonts w:ascii="Verdana" w:hAnsi="Verdana"/>
          <w:color w:val="231F20"/>
          <w:sz w:val="18"/>
        </w:rPr>
        <w:t>February 2020)</w:t>
      </w:r>
      <w:r w:rsidR="00AC20F8" w:rsidRPr="005F172A">
        <w:rPr>
          <w:rFonts w:ascii="Verdana" w:hAnsi="Verdana"/>
          <w:i/>
          <w:color w:val="231F20"/>
          <w:sz w:val="18"/>
        </w:rPr>
        <w:t xml:space="preserve"> </w:t>
      </w:r>
      <w:r w:rsidR="00AC20F8">
        <w:rPr>
          <w:rFonts w:ascii="Verdana" w:hAnsi="Verdana"/>
          <w:i/>
          <w:color w:val="231F20"/>
          <w:sz w:val="18"/>
        </w:rPr>
        <w:br/>
      </w:r>
      <w:r w:rsidR="0019247B" w:rsidRPr="005F172A">
        <w:rPr>
          <w:rFonts w:ascii="Verdana" w:hAnsi="Verdana"/>
          <w:i/>
          <w:color w:val="231F20"/>
          <w:sz w:val="18"/>
        </w:rPr>
        <w:t xml:space="preserve">Note the main source of information relating to the CDR Policy </w:t>
      </w:r>
      <w:r w:rsidR="005F172A" w:rsidRPr="005F172A">
        <w:rPr>
          <w:rFonts w:ascii="Verdana" w:hAnsi="Verdana"/>
          <w:i/>
          <w:color w:val="231F20"/>
          <w:sz w:val="18"/>
        </w:rPr>
        <w:t xml:space="preserve">appears </w:t>
      </w:r>
      <w:r w:rsidR="0019247B" w:rsidRPr="005F172A">
        <w:rPr>
          <w:rFonts w:ascii="Verdana" w:hAnsi="Verdana"/>
          <w:i/>
          <w:color w:val="231F20"/>
          <w:sz w:val="18"/>
        </w:rPr>
        <w:t xml:space="preserve">in </w:t>
      </w:r>
      <w:r w:rsidR="00541BE1" w:rsidRPr="005F172A">
        <w:rPr>
          <w:rFonts w:ascii="Verdana" w:hAnsi="Verdana"/>
          <w:i/>
          <w:color w:val="231F20"/>
          <w:sz w:val="18"/>
        </w:rPr>
        <w:t>Subdivision 7.2</w:t>
      </w:r>
      <w:r w:rsidR="00AC20F8">
        <w:rPr>
          <w:rFonts w:ascii="Verdana" w:hAnsi="Verdana"/>
          <w:i/>
          <w:color w:val="231F20"/>
          <w:sz w:val="18"/>
        </w:rPr>
        <w:t>.1</w:t>
      </w:r>
      <w:r w:rsidR="005F172A" w:rsidRPr="005F172A">
        <w:rPr>
          <w:rFonts w:ascii="Verdana" w:hAnsi="Verdana"/>
          <w:i/>
          <w:color w:val="231F20"/>
          <w:sz w:val="18"/>
        </w:rPr>
        <w:t xml:space="preserve"> – Rules relating to consideration of CDR data privacy</w:t>
      </w:r>
    </w:p>
    <w:p w14:paraId="21D159BF" w14:textId="77777777" w:rsidR="00AC20F8" w:rsidRPr="00791489" w:rsidRDefault="00AC20F8" w:rsidP="00AC20F8">
      <w:pPr>
        <w:pBdr>
          <w:bottom w:val="single" w:sz="4" w:space="1" w:color="auto"/>
        </w:pBdr>
        <w:rPr>
          <w:rFonts w:ascii="Calibri" w:eastAsia="Calibri" w:hAnsi="Calibri" w:cs="Calibri"/>
          <w:sz w:val="20"/>
        </w:rPr>
      </w:pPr>
    </w:p>
    <w:p w14:paraId="776CC694" w14:textId="6028F84E" w:rsidR="00AC20F8" w:rsidRPr="00B40BA5" w:rsidRDefault="00AC20F8" w:rsidP="00AC20F8">
      <w:pPr>
        <w:rPr>
          <w:rFonts w:ascii="Verdana" w:eastAsia="Calibri" w:hAnsi="Verdana" w:cs="Calibri"/>
          <w:b/>
          <w:sz w:val="18"/>
        </w:rPr>
      </w:pPr>
      <w:r>
        <w:rPr>
          <w:rFonts w:ascii="Verdana" w:eastAsia="Calibri" w:hAnsi="Verdana" w:cs="Calibri"/>
          <w:b/>
          <w:sz w:val="18"/>
        </w:rPr>
        <w:t>Resources</w:t>
      </w:r>
    </w:p>
    <w:p w14:paraId="43E9DFF4" w14:textId="6D705104" w:rsidR="00DA4E47" w:rsidRDefault="00AC20F8" w:rsidP="00AC20F8">
      <w:pPr>
        <w:spacing w:before="120" w:after="120" w:line="240" w:lineRule="auto"/>
        <w:ind w:right="-613"/>
      </w:pPr>
      <w:r w:rsidRPr="00AC20F8">
        <w:rPr>
          <w:b/>
          <w:bCs/>
        </w:rPr>
        <w:t>CDR Rules (February 2020)</w:t>
      </w:r>
      <w:r w:rsidRPr="00AC20F8">
        <w:br/>
      </w:r>
      <w:hyperlink r:id="rId11" w:history="1">
        <w:r w:rsidRPr="00E73BC6">
          <w:rPr>
            <w:rStyle w:val="Hyperlink"/>
          </w:rPr>
          <w:t>https://www.accc.gov.au/system/files/CDR%20Rule</w:t>
        </w:r>
        <w:r w:rsidRPr="00E73BC6">
          <w:rPr>
            <w:rStyle w:val="Hyperlink"/>
          </w:rPr>
          <w:t>s</w:t>
        </w:r>
        <w:r w:rsidRPr="00E73BC6">
          <w:rPr>
            <w:rStyle w:val="Hyperlink"/>
          </w:rPr>
          <w:t>%20-%20Final%20-%206%20February%202020.pdf</w:t>
        </w:r>
      </w:hyperlink>
    </w:p>
    <w:p w14:paraId="51437F05" w14:textId="4DE6A076" w:rsidR="00DA4E47" w:rsidRPr="00AC20F8" w:rsidRDefault="00AC20F8" w:rsidP="00AC20F8">
      <w:pPr>
        <w:spacing w:before="120" w:after="120" w:line="240" w:lineRule="auto"/>
        <w:ind w:right="-12"/>
        <w:rPr>
          <w:rStyle w:val="Hyperlink"/>
        </w:rPr>
      </w:pPr>
      <w:r w:rsidRPr="00AC20F8">
        <w:rPr>
          <w:b/>
          <w:bCs/>
        </w:rPr>
        <w:t xml:space="preserve">Rules </w:t>
      </w:r>
      <w:r w:rsidR="00DA4E47" w:rsidRPr="00AC20F8">
        <w:rPr>
          <w:b/>
          <w:bCs/>
        </w:rPr>
        <w:t>Explanatory Statement</w:t>
      </w:r>
      <w:r>
        <w:rPr>
          <w:b/>
          <w:bCs/>
        </w:rPr>
        <w:t xml:space="preserve"> (February 2020)</w:t>
      </w:r>
      <w:r>
        <w:rPr>
          <w:b/>
          <w:bCs/>
        </w:rPr>
        <w:br/>
      </w:r>
      <w:hyperlink r:id="rId12" w:history="1">
        <w:r w:rsidR="00DA4E47">
          <w:rPr>
            <w:rStyle w:val="Hyperlink"/>
          </w:rPr>
          <w:t>https://www.accc.gov.au/system/files/CDR%20Rules%20Explanatory%20Statement%20-%206%20February%202020.pdf</w:t>
        </w:r>
      </w:hyperlink>
    </w:p>
    <w:p w14:paraId="4D142D98" w14:textId="5649D682" w:rsidR="002D6474" w:rsidRPr="00AC20F8" w:rsidRDefault="00AC20F8" w:rsidP="00AC20F8">
      <w:pPr>
        <w:spacing w:before="120" w:after="120" w:line="240" w:lineRule="auto"/>
        <w:ind w:right="-12"/>
        <w:rPr>
          <w:rStyle w:val="Hyperlink"/>
        </w:rPr>
      </w:pPr>
      <w:r w:rsidRPr="00AC20F8">
        <w:rPr>
          <w:b/>
          <w:bCs/>
        </w:rPr>
        <w:t>OAIC Guide to developing a CDR policy</w:t>
      </w:r>
      <w:r>
        <w:rPr>
          <w:b/>
          <w:bCs/>
        </w:rPr>
        <w:t xml:space="preserve"> (June 2020)</w:t>
      </w:r>
      <w:r>
        <w:rPr>
          <w:b/>
          <w:bCs/>
        </w:rPr>
        <w:br/>
      </w:r>
      <w:hyperlink r:id="rId13" w:history="1">
        <w:r w:rsidR="002D6474">
          <w:rPr>
            <w:rStyle w:val="Hyperlink"/>
          </w:rPr>
          <w:t>https://www.oaic.gov.au/consumer-dat</w:t>
        </w:r>
        <w:r w:rsidR="002D6474">
          <w:rPr>
            <w:rStyle w:val="Hyperlink"/>
          </w:rPr>
          <w:t>a</w:t>
        </w:r>
        <w:r w:rsidR="002D6474">
          <w:rPr>
            <w:rStyle w:val="Hyperlink"/>
          </w:rPr>
          <w:t>-right/guidance-and-advice/guide-to-developing-a-cdr-policy/</w:t>
        </w:r>
      </w:hyperlink>
    </w:p>
    <w:p w14:paraId="4EF4B7A2" w14:textId="47F3835B" w:rsidR="64F97F21" w:rsidRPr="00791489" w:rsidRDefault="64F97F21" w:rsidP="0002541E">
      <w:pPr>
        <w:pBdr>
          <w:bottom w:val="single" w:sz="4" w:space="1" w:color="auto"/>
        </w:pBdr>
        <w:rPr>
          <w:rFonts w:ascii="Calibri" w:eastAsia="Calibri" w:hAnsi="Calibri" w:cs="Calibri"/>
          <w:sz w:val="20"/>
        </w:rPr>
      </w:pPr>
    </w:p>
    <w:p w14:paraId="0504DF8C" w14:textId="7542695E" w:rsidR="00C3043A" w:rsidRDefault="00C3043A">
      <w:pPr>
        <w:rPr>
          <w:rFonts w:ascii="Calibri" w:eastAsia="Calibri" w:hAnsi="Calibri" w:cs="Calibri"/>
          <w:sz w:val="20"/>
        </w:rPr>
      </w:pPr>
    </w:p>
    <w:p w14:paraId="62A95DFE" w14:textId="34DB5D18" w:rsidR="002C2803" w:rsidRPr="00BD088F" w:rsidRDefault="002C2803" w:rsidP="001D5AF2">
      <w:pPr>
        <w:autoSpaceDE w:val="0"/>
        <w:autoSpaceDN w:val="0"/>
        <w:adjustRightInd w:val="0"/>
        <w:spacing w:before="60" w:after="60" w:line="240" w:lineRule="auto"/>
        <w:rPr>
          <w:rFonts w:ascii="Verdana" w:hAnsi="Verdana" w:cs="TimesNewRoman"/>
          <w:sz w:val="18"/>
        </w:rPr>
        <w:sectPr w:rsidR="002C2803" w:rsidRPr="00BD088F" w:rsidSect="005C640D">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1440" w:left="1440" w:header="708" w:footer="708" w:gutter="0"/>
          <w:cols w:space="708"/>
          <w:docGrid w:linePitch="360"/>
        </w:sectPr>
      </w:pPr>
    </w:p>
    <w:p w14:paraId="7C8B03AC" w14:textId="6F627A85" w:rsidR="00972E8C" w:rsidRPr="00AC20F8" w:rsidRDefault="00972E8C" w:rsidP="00972E8C">
      <w:pPr>
        <w:rPr>
          <w:rFonts w:ascii="Verdana" w:eastAsia="Calibri" w:hAnsi="Verdana" w:cs="Calibri"/>
          <w:b/>
          <w:sz w:val="20"/>
          <w:szCs w:val="24"/>
        </w:rPr>
      </w:pPr>
      <w:r w:rsidRPr="00AC20F8">
        <w:rPr>
          <w:rFonts w:ascii="Verdana" w:eastAsia="Calibri" w:hAnsi="Verdana" w:cs="Calibri"/>
          <w:b/>
          <w:sz w:val="20"/>
          <w:szCs w:val="24"/>
        </w:rPr>
        <w:lastRenderedPageBreak/>
        <w:t>The Following Tables</w:t>
      </w:r>
    </w:p>
    <w:p w14:paraId="6E82A136" w14:textId="55ACEB73" w:rsidR="005C640D" w:rsidRDefault="00972E8C" w:rsidP="00972E8C">
      <w:pPr>
        <w:spacing w:before="120" w:after="120"/>
        <w:ind w:right="-12"/>
        <w:rPr>
          <w:rFonts w:ascii="Verdana" w:hAnsi="Verdana"/>
          <w:color w:val="231F20"/>
          <w:sz w:val="18"/>
        </w:rPr>
      </w:pPr>
      <w:r>
        <w:rPr>
          <w:rFonts w:ascii="Verdana" w:hAnsi="Verdana"/>
          <w:color w:val="231F20"/>
          <w:sz w:val="18"/>
        </w:rPr>
        <w:t xml:space="preserve">The following pages </w:t>
      </w:r>
      <w:r w:rsidR="00193474">
        <w:rPr>
          <w:rFonts w:ascii="Verdana" w:hAnsi="Verdana"/>
          <w:color w:val="231F20"/>
          <w:sz w:val="18"/>
        </w:rPr>
        <w:t>show</w:t>
      </w:r>
      <w:r>
        <w:rPr>
          <w:rFonts w:ascii="Verdana" w:hAnsi="Verdana"/>
          <w:color w:val="231F20"/>
          <w:sz w:val="18"/>
        </w:rPr>
        <w:t xml:space="preserve"> </w:t>
      </w:r>
      <w:r w:rsidR="00E46FCC" w:rsidRPr="00E46FCC">
        <w:rPr>
          <w:rFonts w:ascii="Verdana" w:hAnsi="Verdana"/>
          <w:b/>
          <w:color w:val="231F20"/>
          <w:sz w:val="18"/>
        </w:rPr>
        <w:t>three</w:t>
      </w:r>
      <w:r>
        <w:rPr>
          <w:rFonts w:ascii="Verdana" w:hAnsi="Verdana"/>
          <w:color w:val="231F20"/>
          <w:sz w:val="18"/>
        </w:rPr>
        <w:t xml:space="preserve"> tables</w:t>
      </w:r>
      <w:r w:rsidR="005C640D">
        <w:rPr>
          <w:rFonts w:ascii="Verdana" w:hAnsi="Verdana"/>
          <w:color w:val="231F20"/>
          <w:sz w:val="18"/>
        </w:rPr>
        <w:t xml:space="preserve"> – one for each of </w:t>
      </w:r>
      <w:r w:rsidR="00DF2F72">
        <w:rPr>
          <w:rFonts w:ascii="Verdana" w:hAnsi="Verdana"/>
          <w:color w:val="231F20"/>
          <w:sz w:val="18"/>
        </w:rPr>
        <w:t>the two major legislative</w:t>
      </w:r>
      <w:r w:rsidR="00193474">
        <w:rPr>
          <w:rFonts w:ascii="Verdana" w:hAnsi="Verdana"/>
          <w:color w:val="231F20"/>
          <w:sz w:val="18"/>
        </w:rPr>
        <w:t xml:space="preserve"> CDR</w:t>
      </w:r>
      <w:r w:rsidR="00DF2F72">
        <w:rPr>
          <w:rFonts w:ascii="Verdana" w:hAnsi="Verdana"/>
          <w:color w:val="231F20"/>
          <w:sz w:val="18"/>
        </w:rPr>
        <w:t xml:space="preserve"> document</w:t>
      </w:r>
      <w:r w:rsidR="00193474">
        <w:rPr>
          <w:rFonts w:ascii="Verdana" w:hAnsi="Verdana"/>
          <w:color w:val="231F20"/>
          <w:sz w:val="18"/>
        </w:rPr>
        <w:t>s</w:t>
      </w:r>
      <w:r w:rsidR="00DF2F72">
        <w:rPr>
          <w:rFonts w:ascii="Verdana" w:hAnsi="Verdana"/>
          <w:color w:val="231F20"/>
          <w:sz w:val="18"/>
        </w:rPr>
        <w:t xml:space="preserve"> - </w:t>
      </w:r>
      <w:r>
        <w:rPr>
          <w:rFonts w:ascii="Verdana" w:hAnsi="Verdana"/>
          <w:color w:val="231F20"/>
          <w:sz w:val="18"/>
        </w:rPr>
        <w:t>the CDR Rules and the Act</w:t>
      </w:r>
      <w:r w:rsidR="00E46FCC">
        <w:rPr>
          <w:rFonts w:ascii="Verdana" w:hAnsi="Verdana"/>
          <w:color w:val="231F20"/>
          <w:sz w:val="18"/>
        </w:rPr>
        <w:t xml:space="preserve"> and a </w:t>
      </w:r>
      <w:r w:rsidR="00DA3EA8">
        <w:rPr>
          <w:rFonts w:ascii="Verdana" w:hAnsi="Verdana"/>
          <w:color w:val="231F20"/>
          <w:sz w:val="18"/>
        </w:rPr>
        <w:t xml:space="preserve">table for additional content provided in the CDR Rules Explanatory Statement </w:t>
      </w:r>
      <w:r>
        <w:rPr>
          <w:rFonts w:ascii="Verdana" w:hAnsi="Verdana"/>
          <w:color w:val="231F20"/>
          <w:sz w:val="18"/>
        </w:rPr>
        <w:t xml:space="preserve">  </w:t>
      </w:r>
    </w:p>
    <w:p w14:paraId="7C18E759" w14:textId="6CD8E7B2" w:rsidR="00972E8C" w:rsidRDefault="000F2BF0" w:rsidP="00972E8C">
      <w:pPr>
        <w:spacing w:before="120" w:after="120"/>
        <w:ind w:right="-12"/>
        <w:rPr>
          <w:rFonts w:ascii="Verdana" w:hAnsi="Verdana"/>
          <w:color w:val="231F20"/>
          <w:sz w:val="18"/>
        </w:rPr>
      </w:pPr>
      <w:r>
        <w:rPr>
          <w:rFonts w:ascii="Verdana" w:hAnsi="Verdana"/>
          <w:color w:val="231F20"/>
          <w:sz w:val="18"/>
        </w:rPr>
        <w:t xml:space="preserve">The tables include every </w:t>
      </w:r>
      <w:r w:rsidR="00AC20F8">
        <w:rPr>
          <w:rFonts w:ascii="Verdana" w:hAnsi="Verdana"/>
          <w:color w:val="231F20"/>
          <w:sz w:val="18"/>
        </w:rPr>
        <w:t xml:space="preserve">known identified </w:t>
      </w:r>
      <w:r>
        <w:rPr>
          <w:rFonts w:ascii="Verdana" w:hAnsi="Verdana"/>
          <w:color w:val="231F20"/>
          <w:sz w:val="18"/>
        </w:rPr>
        <w:t>clause</w:t>
      </w:r>
      <w:r w:rsidR="00BB0981">
        <w:rPr>
          <w:rFonts w:ascii="Verdana" w:hAnsi="Verdana"/>
          <w:color w:val="231F20"/>
          <w:sz w:val="18"/>
        </w:rPr>
        <w:t xml:space="preserve"> </w:t>
      </w:r>
      <w:r>
        <w:rPr>
          <w:rFonts w:ascii="Verdana" w:hAnsi="Verdana"/>
          <w:color w:val="231F20"/>
          <w:sz w:val="18"/>
        </w:rPr>
        <w:t>that</w:t>
      </w:r>
      <w:r w:rsidR="00BB0981">
        <w:rPr>
          <w:rFonts w:ascii="Verdana" w:hAnsi="Verdana"/>
          <w:color w:val="231F20"/>
          <w:sz w:val="18"/>
        </w:rPr>
        <w:t xml:space="preserve"> has </w:t>
      </w:r>
      <w:r w:rsidR="005C640D">
        <w:rPr>
          <w:rFonts w:ascii="Verdana" w:hAnsi="Verdana"/>
          <w:color w:val="231F20"/>
          <w:sz w:val="18"/>
        </w:rPr>
        <w:t xml:space="preserve">a </w:t>
      </w:r>
      <w:r w:rsidR="00BB0981">
        <w:rPr>
          <w:rFonts w:ascii="Verdana" w:hAnsi="Verdana"/>
          <w:color w:val="231F20"/>
          <w:sz w:val="18"/>
        </w:rPr>
        <w:t xml:space="preserve">reference to, or </w:t>
      </w:r>
      <w:r>
        <w:rPr>
          <w:rFonts w:ascii="Verdana" w:hAnsi="Verdana"/>
          <w:color w:val="231F20"/>
          <w:sz w:val="18"/>
        </w:rPr>
        <w:t>is associated with</w:t>
      </w:r>
      <w:r w:rsidR="005C640D">
        <w:rPr>
          <w:rFonts w:ascii="Verdana" w:hAnsi="Verdana"/>
          <w:color w:val="231F20"/>
          <w:sz w:val="18"/>
        </w:rPr>
        <w:t>,</w:t>
      </w:r>
      <w:r>
        <w:rPr>
          <w:rFonts w:ascii="Verdana" w:hAnsi="Verdana"/>
          <w:color w:val="231F20"/>
          <w:sz w:val="18"/>
        </w:rPr>
        <w:t xml:space="preserve"> the </w:t>
      </w:r>
      <w:r w:rsidR="005C640D">
        <w:rPr>
          <w:rFonts w:ascii="Verdana" w:hAnsi="Verdana"/>
          <w:color w:val="231F20"/>
          <w:sz w:val="18"/>
        </w:rPr>
        <w:t xml:space="preserve">definition of a </w:t>
      </w:r>
      <w:r w:rsidRPr="005C640D">
        <w:rPr>
          <w:rFonts w:ascii="Verdana" w:hAnsi="Verdana"/>
          <w:i/>
          <w:color w:val="231F20"/>
          <w:sz w:val="18"/>
        </w:rPr>
        <w:t>CDR Policy</w:t>
      </w:r>
      <w:r w:rsidR="005E64E9">
        <w:rPr>
          <w:rFonts w:ascii="Verdana" w:hAnsi="Verdana"/>
          <w:color w:val="231F20"/>
          <w:sz w:val="18"/>
        </w:rPr>
        <w:t>.</w:t>
      </w:r>
      <w:r w:rsidR="00CC4825">
        <w:rPr>
          <w:rFonts w:ascii="Verdana" w:hAnsi="Verdana"/>
          <w:color w:val="231F20"/>
          <w:sz w:val="18"/>
        </w:rPr>
        <w:t xml:space="preserve">  Where references are made between documents</w:t>
      </w:r>
      <w:r w:rsidR="00AC20F8">
        <w:rPr>
          <w:rFonts w:ascii="Verdana" w:hAnsi="Verdana"/>
          <w:color w:val="231F20"/>
          <w:sz w:val="18"/>
        </w:rPr>
        <w:t>,</w:t>
      </w:r>
      <w:r w:rsidR="00CC4825">
        <w:rPr>
          <w:rFonts w:ascii="Verdana" w:hAnsi="Verdana"/>
          <w:color w:val="231F20"/>
          <w:sz w:val="18"/>
        </w:rPr>
        <w:t xml:space="preserve"> </w:t>
      </w:r>
      <w:r w:rsidR="005C640D">
        <w:rPr>
          <w:rFonts w:ascii="Verdana" w:hAnsi="Verdana"/>
          <w:color w:val="231F20"/>
          <w:sz w:val="18"/>
        </w:rPr>
        <w:t>this</w:t>
      </w:r>
      <w:r w:rsidR="00CC4825">
        <w:rPr>
          <w:rFonts w:ascii="Verdana" w:hAnsi="Verdana"/>
          <w:color w:val="231F20"/>
          <w:sz w:val="18"/>
        </w:rPr>
        <w:t xml:space="preserve"> </w:t>
      </w:r>
      <w:r w:rsidR="005C640D">
        <w:rPr>
          <w:rFonts w:ascii="Verdana" w:hAnsi="Verdana"/>
          <w:color w:val="231F20"/>
          <w:sz w:val="18"/>
        </w:rPr>
        <w:t>is</w:t>
      </w:r>
      <w:r w:rsidR="00CC4825">
        <w:rPr>
          <w:rFonts w:ascii="Verdana" w:hAnsi="Verdana"/>
          <w:color w:val="231F20"/>
          <w:sz w:val="18"/>
        </w:rPr>
        <w:t xml:space="preserve"> shown in the table</w:t>
      </w:r>
      <w:r w:rsidR="00BB0981">
        <w:rPr>
          <w:rFonts w:ascii="Verdana" w:hAnsi="Verdana"/>
          <w:color w:val="231F20"/>
          <w:sz w:val="18"/>
        </w:rPr>
        <w:t>s.</w:t>
      </w:r>
    </w:p>
    <w:p w14:paraId="583D8548" w14:textId="53455D16" w:rsidR="00A8579A" w:rsidRDefault="00A8579A" w:rsidP="00972E8C">
      <w:pPr>
        <w:spacing w:before="120" w:after="120"/>
        <w:ind w:right="-12"/>
        <w:rPr>
          <w:rFonts w:ascii="Verdana" w:hAnsi="Verdana"/>
          <w:color w:val="231F20"/>
          <w:sz w:val="18"/>
        </w:rPr>
      </w:pPr>
      <w:r>
        <w:rPr>
          <w:rFonts w:ascii="Verdana" w:hAnsi="Verdana"/>
          <w:color w:val="231F20"/>
          <w:sz w:val="18"/>
        </w:rPr>
        <w:t>Where Rules or requirements only apply to a Data Holder or a Data Recipient, they are tagged as follows:</w:t>
      </w:r>
    </w:p>
    <w:tbl>
      <w:tblPr>
        <w:tblStyle w:val="TableGrid"/>
        <w:tblW w:w="0" w:type="auto"/>
        <w:tblLook w:val="04A0" w:firstRow="1" w:lastRow="0" w:firstColumn="1" w:lastColumn="0" w:noHBand="0" w:noVBand="1"/>
      </w:tblPr>
      <w:tblGrid>
        <w:gridCol w:w="476"/>
        <w:gridCol w:w="13919"/>
      </w:tblGrid>
      <w:tr w:rsidR="00AC20F8" w14:paraId="5020B7F7" w14:textId="77777777" w:rsidTr="00A8579A">
        <w:trPr>
          <w:trHeight w:val="309"/>
        </w:trPr>
        <w:tc>
          <w:tcPr>
            <w:tcW w:w="476" w:type="dxa"/>
            <w:tcMar>
              <w:left w:w="57" w:type="dxa"/>
              <w:right w:w="57" w:type="dxa"/>
            </w:tcMar>
            <w:vAlign w:val="center"/>
          </w:tcPr>
          <w:p w14:paraId="2B720D9B" w14:textId="07563578" w:rsidR="00AC20F8" w:rsidRDefault="00AC20F8" w:rsidP="00972E8C">
            <w:pPr>
              <w:spacing w:before="120" w:after="120"/>
              <w:ind w:right="-12"/>
              <w:rPr>
                <w:rFonts w:ascii="Verdana" w:hAnsi="Verdana"/>
                <w:color w:val="231F20"/>
                <w:sz w:val="18"/>
              </w:rPr>
            </w:pPr>
            <w:r>
              <w:rPr>
                <w:rFonts w:ascii="Verdana" w:hAnsi="Verdana"/>
                <w:b/>
                <w:noProof/>
                <w:sz w:val="18"/>
              </w:rPr>
              <w:drawing>
                <wp:inline distT="0" distB="0" distL="0" distR="0" wp14:anchorId="676A40B8" wp14:editId="0BF1E097">
                  <wp:extent cx="229870" cy="229870"/>
                  <wp:effectExtent l="0" t="0" r="0" b="0"/>
                  <wp:docPr id="24" name="Picture 24"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circled-h-9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870" cy="229870"/>
                          </a:xfrm>
                          <a:prstGeom prst="rect">
                            <a:avLst/>
                          </a:prstGeom>
                        </pic:spPr>
                      </pic:pic>
                    </a:graphicData>
                  </a:graphic>
                </wp:inline>
              </w:drawing>
            </w:r>
          </w:p>
        </w:tc>
        <w:tc>
          <w:tcPr>
            <w:tcW w:w="13919" w:type="dxa"/>
            <w:tcMar>
              <w:left w:w="57" w:type="dxa"/>
              <w:right w:w="57" w:type="dxa"/>
            </w:tcMar>
            <w:vAlign w:val="center"/>
          </w:tcPr>
          <w:p w14:paraId="5180AAAE" w14:textId="64980B8D" w:rsidR="00AC20F8" w:rsidRDefault="00AC20F8" w:rsidP="00972E8C">
            <w:pPr>
              <w:spacing w:before="120" w:after="120"/>
              <w:ind w:right="-12"/>
              <w:rPr>
                <w:rFonts w:ascii="Verdana" w:hAnsi="Verdana"/>
                <w:color w:val="231F20"/>
                <w:sz w:val="18"/>
              </w:rPr>
            </w:pPr>
            <w:r>
              <w:rPr>
                <w:rFonts w:ascii="Verdana" w:hAnsi="Verdana"/>
                <w:color w:val="231F20"/>
                <w:sz w:val="18"/>
              </w:rPr>
              <w:t>Rules that only apply to Data Holders</w:t>
            </w:r>
          </w:p>
        </w:tc>
      </w:tr>
      <w:tr w:rsidR="00AC20F8" w14:paraId="5BC316FB" w14:textId="77777777" w:rsidTr="00A8579A">
        <w:tc>
          <w:tcPr>
            <w:tcW w:w="476" w:type="dxa"/>
            <w:tcMar>
              <w:left w:w="57" w:type="dxa"/>
              <w:right w:w="57" w:type="dxa"/>
            </w:tcMar>
            <w:vAlign w:val="center"/>
          </w:tcPr>
          <w:p w14:paraId="123E6802" w14:textId="63B2D7FC" w:rsidR="00AC20F8" w:rsidRDefault="00AC20F8" w:rsidP="00972E8C">
            <w:pPr>
              <w:spacing w:before="120" w:after="120"/>
              <w:ind w:right="-12"/>
              <w:rPr>
                <w:rFonts w:ascii="Verdana" w:hAnsi="Verdana"/>
                <w:color w:val="231F20"/>
                <w:sz w:val="18"/>
              </w:rPr>
            </w:pPr>
            <w:r>
              <w:rPr>
                <w:rFonts w:ascii="Verdana" w:hAnsi="Verdana"/>
                <w:b/>
                <w:noProof/>
                <w:sz w:val="18"/>
              </w:rPr>
              <w:drawing>
                <wp:inline distT="0" distB="0" distL="0" distR="0" wp14:anchorId="73E5F174" wp14:editId="36B3F2E5">
                  <wp:extent cx="230400" cy="230400"/>
                  <wp:effectExtent l="0" t="0" r="0" b="0"/>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inline>
              </w:drawing>
            </w:r>
          </w:p>
        </w:tc>
        <w:tc>
          <w:tcPr>
            <w:tcW w:w="13919" w:type="dxa"/>
            <w:tcMar>
              <w:left w:w="57" w:type="dxa"/>
              <w:right w:w="57" w:type="dxa"/>
            </w:tcMar>
            <w:vAlign w:val="center"/>
          </w:tcPr>
          <w:p w14:paraId="7F28D011" w14:textId="4C2F4CF3" w:rsidR="00AC20F8" w:rsidRDefault="00AC20F8" w:rsidP="00972E8C">
            <w:pPr>
              <w:spacing w:before="120" w:after="120"/>
              <w:ind w:right="-12"/>
              <w:rPr>
                <w:rFonts w:ascii="Verdana" w:hAnsi="Verdana"/>
                <w:color w:val="231F20"/>
                <w:sz w:val="18"/>
              </w:rPr>
            </w:pPr>
            <w:r>
              <w:rPr>
                <w:rFonts w:ascii="Verdana" w:hAnsi="Verdana"/>
                <w:color w:val="231F20"/>
                <w:sz w:val="18"/>
              </w:rPr>
              <w:t>Rules that only apply to Data Recipients</w:t>
            </w:r>
          </w:p>
        </w:tc>
      </w:tr>
    </w:tbl>
    <w:p w14:paraId="470D0DC7" w14:textId="509020BC" w:rsidR="00A8579A" w:rsidRDefault="00A8579A" w:rsidP="00A8579A">
      <w:pPr>
        <w:spacing w:before="120" w:after="120"/>
        <w:ind w:right="-12"/>
        <w:rPr>
          <w:rFonts w:ascii="Verdana" w:hAnsi="Verdana"/>
          <w:color w:val="231F20"/>
          <w:sz w:val="18"/>
        </w:rPr>
      </w:pPr>
      <w:r>
        <w:rPr>
          <w:rFonts w:ascii="Verdana" w:hAnsi="Verdana"/>
          <w:color w:val="231F20"/>
          <w:sz w:val="18"/>
        </w:rPr>
        <w:t>The assumption is, if a CDR Policy addresses all these clauses, it will be deemed compliant by the ACCC as part of the accreditation process.</w:t>
      </w:r>
    </w:p>
    <w:p w14:paraId="4444B293" w14:textId="77777777" w:rsidR="00EF7435" w:rsidRDefault="00EF7435" w:rsidP="00A8579A">
      <w:pPr>
        <w:spacing w:before="120" w:after="120"/>
        <w:ind w:right="-12"/>
        <w:rPr>
          <w:rFonts w:ascii="Verdana" w:hAnsi="Verdana"/>
          <w:color w:val="231F20"/>
          <w:sz w:val="18"/>
        </w:rPr>
      </w:pPr>
    </w:p>
    <w:p w14:paraId="3C7583CF" w14:textId="5AD65DCA" w:rsidR="00F30605" w:rsidRDefault="00F30605" w:rsidP="00972E8C">
      <w:pPr>
        <w:spacing w:before="120" w:after="120"/>
        <w:ind w:right="-12"/>
        <w:rPr>
          <w:rFonts w:ascii="Verdana" w:hAnsi="Verdana"/>
          <w:color w:val="231F20"/>
          <w:sz w:val="18"/>
        </w:rPr>
      </w:pPr>
    </w:p>
    <w:p w14:paraId="43287F34" w14:textId="77777777" w:rsidR="00EF7435" w:rsidRDefault="00EF7435">
      <w:pPr>
        <w:rPr>
          <w:rFonts w:ascii="Verdana" w:hAnsi="Verdana"/>
          <w:b/>
        </w:rPr>
      </w:pPr>
      <w:r>
        <w:rPr>
          <w:rFonts w:ascii="Verdana" w:hAnsi="Verdana"/>
          <w:b/>
        </w:rPr>
        <w:br w:type="page"/>
      </w:r>
    </w:p>
    <w:p w14:paraId="06BB6F0B" w14:textId="1A8388EC" w:rsidR="004C65B4" w:rsidRDefault="007627D3" w:rsidP="007627D3">
      <w:pPr>
        <w:spacing w:before="120" w:after="120"/>
        <w:jc w:val="center"/>
        <w:rPr>
          <w:rFonts w:ascii="Verdana" w:hAnsi="Verdana"/>
          <w:b/>
        </w:rPr>
      </w:pPr>
      <w:r w:rsidRPr="00791489">
        <w:rPr>
          <w:rFonts w:ascii="Verdana" w:hAnsi="Verdana"/>
          <w:b/>
        </w:rPr>
        <w:lastRenderedPageBreak/>
        <w:t>CDR</w:t>
      </w:r>
      <w:r w:rsidR="00FC42CD" w:rsidRPr="00791489">
        <w:rPr>
          <w:rFonts w:ascii="Verdana" w:hAnsi="Verdana"/>
          <w:b/>
        </w:rPr>
        <w:t xml:space="preserve"> Policy </w:t>
      </w:r>
      <w:r w:rsidR="001617F3">
        <w:rPr>
          <w:rFonts w:ascii="Verdana" w:hAnsi="Verdana"/>
          <w:b/>
        </w:rPr>
        <w:t>Requirements</w:t>
      </w:r>
      <w:r w:rsidR="00833465">
        <w:rPr>
          <w:rFonts w:ascii="Verdana" w:hAnsi="Verdana"/>
          <w:b/>
        </w:rPr>
        <w:t xml:space="preserve"> Cross-Reference</w:t>
      </w:r>
    </w:p>
    <w:p w14:paraId="71743D97" w14:textId="577A37CC" w:rsidR="007627D3" w:rsidRPr="00791489" w:rsidRDefault="00FC42CD" w:rsidP="007627D3">
      <w:pPr>
        <w:spacing w:before="120" w:after="120"/>
        <w:jc w:val="center"/>
        <w:rPr>
          <w:rFonts w:ascii="Verdana" w:hAnsi="Verdana"/>
          <w:b/>
        </w:rPr>
      </w:pPr>
      <w:r w:rsidRPr="004C65B4">
        <w:rPr>
          <w:rFonts w:ascii="Verdana" w:hAnsi="Verdana"/>
          <w:b/>
        </w:rPr>
        <w:t xml:space="preserve">CDR </w:t>
      </w:r>
      <w:r w:rsidR="007627D3" w:rsidRPr="004C65B4">
        <w:rPr>
          <w:rFonts w:ascii="Verdana" w:hAnsi="Verdana"/>
          <w:b/>
        </w:rPr>
        <w:t>Rules</w:t>
      </w:r>
      <w:r w:rsidR="00F30605" w:rsidRPr="004C65B4">
        <w:rPr>
          <w:rFonts w:ascii="Verdana" w:hAnsi="Verdana"/>
          <w:b/>
        </w:rPr>
        <w:t xml:space="preserve"> (February 2020)</w:t>
      </w:r>
      <w:r w:rsidR="002D12DB">
        <w:rPr>
          <w:rFonts w:ascii="Verdana" w:hAnsi="Verdana"/>
          <w:b/>
        </w:rPr>
        <w:t xml:space="preserve"> </w:t>
      </w:r>
    </w:p>
    <w:tbl>
      <w:tblPr>
        <w:tblStyle w:val="TableGrid"/>
        <w:tblW w:w="14312" w:type="dxa"/>
        <w:tblLayout w:type="fixed"/>
        <w:tblLook w:val="04A0" w:firstRow="1" w:lastRow="0" w:firstColumn="1" w:lastColumn="0" w:noHBand="0" w:noVBand="1"/>
      </w:tblPr>
      <w:tblGrid>
        <w:gridCol w:w="421"/>
        <w:gridCol w:w="992"/>
        <w:gridCol w:w="5528"/>
        <w:gridCol w:w="5103"/>
        <w:gridCol w:w="1134"/>
        <w:gridCol w:w="1134"/>
      </w:tblGrid>
      <w:tr w:rsidR="00F30605" w:rsidRPr="00791489" w14:paraId="1A78920F" w14:textId="1AE67388" w:rsidTr="00DA4E47">
        <w:trPr>
          <w:tblHeader/>
        </w:trPr>
        <w:tc>
          <w:tcPr>
            <w:tcW w:w="421" w:type="dxa"/>
            <w:shd w:val="clear" w:color="auto" w:fill="E2EFD9" w:themeFill="accent6" w:themeFillTint="33"/>
            <w:tcMar>
              <w:top w:w="28" w:type="dxa"/>
              <w:left w:w="57" w:type="dxa"/>
              <w:bottom w:w="28" w:type="dxa"/>
              <w:right w:w="57" w:type="dxa"/>
            </w:tcMar>
          </w:tcPr>
          <w:p w14:paraId="0B201961" w14:textId="3627B592" w:rsidR="00F30605" w:rsidRDefault="00F30605" w:rsidP="00F30605">
            <w:pPr>
              <w:spacing w:before="120" w:after="120"/>
              <w:rPr>
                <w:rFonts w:ascii="Verdana" w:hAnsi="Verdana"/>
                <w:b/>
                <w:sz w:val="18"/>
              </w:rPr>
            </w:pPr>
            <w:r>
              <w:rPr>
                <w:rFonts w:ascii="Verdana" w:hAnsi="Verdana"/>
                <w:b/>
                <w:sz w:val="18"/>
              </w:rPr>
              <w:t>DR DH</w:t>
            </w:r>
          </w:p>
        </w:tc>
        <w:tc>
          <w:tcPr>
            <w:tcW w:w="992" w:type="dxa"/>
            <w:shd w:val="clear" w:color="auto" w:fill="E2EFD9" w:themeFill="accent6" w:themeFillTint="33"/>
          </w:tcPr>
          <w:p w14:paraId="6E8B0390" w14:textId="57D46B2A" w:rsidR="00F30605" w:rsidRPr="00791489" w:rsidRDefault="00F30605" w:rsidP="00F30605">
            <w:pPr>
              <w:spacing w:before="120" w:after="120"/>
              <w:rPr>
                <w:rFonts w:ascii="Verdana" w:hAnsi="Verdana"/>
                <w:b/>
                <w:sz w:val="18"/>
              </w:rPr>
            </w:pPr>
            <w:r>
              <w:rPr>
                <w:rFonts w:ascii="Verdana" w:hAnsi="Verdana"/>
                <w:b/>
                <w:sz w:val="18"/>
              </w:rPr>
              <w:t>Ref</w:t>
            </w:r>
          </w:p>
        </w:tc>
        <w:tc>
          <w:tcPr>
            <w:tcW w:w="5528" w:type="dxa"/>
            <w:shd w:val="clear" w:color="auto" w:fill="E2EFD9" w:themeFill="accent6" w:themeFillTint="33"/>
          </w:tcPr>
          <w:p w14:paraId="66149AE1" w14:textId="2E72F855" w:rsidR="00F30605" w:rsidRPr="00791489" w:rsidRDefault="00F30605" w:rsidP="00F30605">
            <w:pPr>
              <w:spacing w:before="120" w:after="120"/>
              <w:rPr>
                <w:rFonts w:ascii="Verdana" w:hAnsi="Verdana"/>
                <w:b/>
                <w:sz w:val="18"/>
              </w:rPr>
            </w:pPr>
            <w:r w:rsidRPr="00791489">
              <w:rPr>
                <w:rFonts w:ascii="Verdana" w:hAnsi="Verdana"/>
                <w:b/>
                <w:sz w:val="18"/>
              </w:rPr>
              <w:t>Content</w:t>
            </w:r>
          </w:p>
        </w:tc>
        <w:tc>
          <w:tcPr>
            <w:tcW w:w="5103" w:type="dxa"/>
            <w:shd w:val="clear" w:color="auto" w:fill="E2EFD9" w:themeFill="accent6" w:themeFillTint="33"/>
          </w:tcPr>
          <w:p w14:paraId="3F869569" w14:textId="5A92773C" w:rsidR="00F30605" w:rsidRPr="00791489" w:rsidRDefault="00803B8A" w:rsidP="00F30605">
            <w:pPr>
              <w:spacing w:before="120" w:after="120"/>
              <w:rPr>
                <w:rFonts w:ascii="Verdana" w:hAnsi="Verdana"/>
                <w:b/>
                <w:sz w:val="18"/>
              </w:rPr>
            </w:pPr>
            <w:r>
              <w:rPr>
                <w:rFonts w:ascii="Verdana" w:hAnsi="Verdana"/>
                <w:b/>
                <w:sz w:val="18"/>
              </w:rPr>
              <w:t xml:space="preserve">Our </w:t>
            </w:r>
            <w:r w:rsidR="00F30605" w:rsidRPr="00791489">
              <w:rPr>
                <w:rFonts w:ascii="Verdana" w:hAnsi="Verdana"/>
                <w:b/>
                <w:sz w:val="18"/>
              </w:rPr>
              <w:t xml:space="preserve">Comment </w:t>
            </w:r>
          </w:p>
        </w:tc>
        <w:tc>
          <w:tcPr>
            <w:tcW w:w="1134" w:type="dxa"/>
            <w:shd w:val="clear" w:color="auto" w:fill="E2EFD9" w:themeFill="accent6" w:themeFillTint="33"/>
            <w:tcMar>
              <w:left w:w="28" w:type="dxa"/>
              <w:right w:w="28" w:type="dxa"/>
            </w:tcMar>
            <w:vAlign w:val="center"/>
          </w:tcPr>
          <w:p w14:paraId="291EB7A9" w14:textId="03F0D423" w:rsidR="00F30605" w:rsidRPr="00791489" w:rsidRDefault="00F30605" w:rsidP="00F30605">
            <w:pPr>
              <w:spacing w:before="120" w:after="120"/>
              <w:jc w:val="center"/>
              <w:rPr>
                <w:rFonts w:ascii="Verdana" w:hAnsi="Verdana"/>
                <w:b/>
                <w:sz w:val="18"/>
              </w:rPr>
            </w:pPr>
            <w:r w:rsidRPr="00D428AA">
              <w:rPr>
                <w:rFonts w:ascii="Verdana" w:hAnsi="Verdana"/>
                <w:b/>
                <w:sz w:val="16"/>
              </w:rPr>
              <w:t xml:space="preserve">Do </w:t>
            </w:r>
            <w:r>
              <w:rPr>
                <w:rFonts w:ascii="Verdana" w:hAnsi="Verdana"/>
                <w:b/>
                <w:sz w:val="16"/>
              </w:rPr>
              <w:t>we fully</w:t>
            </w:r>
            <w:r w:rsidRPr="00D428AA">
              <w:rPr>
                <w:rFonts w:ascii="Verdana" w:hAnsi="Verdana"/>
                <w:b/>
                <w:sz w:val="16"/>
              </w:rPr>
              <w:t xml:space="preserve"> </w:t>
            </w:r>
            <w:r>
              <w:rPr>
                <w:rFonts w:ascii="Verdana" w:hAnsi="Verdana"/>
                <w:b/>
                <w:sz w:val="16"/>
              </w:rPr>
              <w:t>u</w:t>
            </w:r>
            <w:r w:rsidRPr="00D428AA">
              <w:rPr>
                <w:rFonts w:ascii="Verdana" w:hAnsi="Verdana"/>
                <w:b/>
                <w:sz w:val="16"/>
              </w:rPr>
              <w:t>nderstand</w:t>
            </w:r>
            <w:r>
              <w:rPr>
                <w:rFonts w:ascii="Verdana" w:hAnsi="Verdana"/>
                <w:b/>
                <w:sz w:val="16"/>
              </w:rPr>
              <w:t xml:space="preserve"> this?</w:t>
            </w:r>
          </w:p>
        </w:tc>
        <w:tc>
          <w:tcPr>
            <w:tcW w:w="1134" w:type="dxa"/>
            <w:shd w:val="clear" w:color="auto" w:fill="E2EFD9" w:themeFill="accent6" w:themeFillTint="33"/>
            <w:tcMar>
              <w:left w:w="28" w:type="dxa"/>
              <w:right w:w="28" w:type="dxa"/>
            </w:tcMar>
            <w:vAlign w:val="center"/>
          </w:tcPr>
          <w:p w14:paraId="15EAED42" w14:textId="473EF08F" w:rsidR="00F30605" w:rsidRDefault="004C65B4" w:rsidP="00F30605">
            <w:pPr>
              <w:spacing w:before="120" w:after="120"/>
              <w:jc w:val="center"/>
              <w:rPr>
                <w:rFonts w:ascii="Verdana" w:hAnsi="Verdana"/>
                <w:b/>
                <w:sz w:val="18"/>
              </w:rPr>
            </w:pPr>
            <w:r>
              <w:rPr>
                <w:rFonts w:ascii="Verdana" w:hAnsi="Verdana"/>
                <w:b/>
                <w:sz w:val="16"/>
              </w:rPr>
              <w:t>Does our CDR Policy comply?</w:t>
            </w:r>
          </w:p>
        </w:tc>
      </w:tr>
      <w:tr w:rsidR="0060223F" w:rsidRPr="00791489" w14:paraId="24BA29C0" w14:textId="4D5A094E" w:rsidTr="0060223F">
        <w:tc>
          <w:tcPr>
            <w:tcW w:w="421" w:type="dxa"/>
            <w:tcMar>
              <w:top w:w="28" w:type="dxa"/>
              <w:left w:w="28" w:type="dxa"/>
              <w:bottom w:w="28" w:type="dxa"/>
              <w:right w:w="57" w:type="dxa"/>
            </w:tcMar>
            <w:vAlign w:val="center"/>
          </w:tcPr>
          <w:p w14:paraId="16C2B274" w14:textId="77777777" w:rsidR="0060223F" w:rsidRPr="00791489" w:rsidRDefault="0060223F" w:rsidP="00FF43B9">
            <w:pPr>
              <w:spacing w:before="120" w:after="120"/>
              <w:rPr>
                <w:rFonts w:ascii="Verdana" w:hAnsi="Verdana"/>
                <w:i/>
                <w:color w:val="231F20"/>
                <w:sz w:val="18"/>
              </w:rPr>
            </w:pPr>
          </w:p>
        </w:tc>
        <w:tc>
          <w:tcPr>
            <w:tcW w:w="12757" w:type="dxa"/>
            <w:gridSpan w:val="4"/>
            <w:vAlign w:val="center"/>
          </w:tcPr>
          <w:p w14:paraId="481690B4" w14:textId="697A6006" w:rsidR="0060223F" w:rsidRPr="00791489" w:rsidRDefault="0060223F" w:rsidP="00FF43B9">
            <w:pPr>
              <w:spacing w:before="120" w:after="120"/>
              <w:rPr>
                <w:rFonts w:ascii="Verdana" w:hAnsi="Verdana"/>
                <w:sz w:val="18"/>
              </w:rPr>
            </w:pPr>
            <w:r w:rsidRPr="00791489">
              <w:rPr>
                <w:rFonts w:ascii="Verdana" w:hAnsi="Verdana"/>
                <w:i/>
                <w:color w:val="231F20"/>
                <w:sz w:val="18"/>
              </w:rPr>
              <w:t>Policy about the management of CDR data</w:t>
            </w:r>
          </w:p>
        </w:tc>
        <w:tc>
          <w:tcPr>
            <w:tcW w:w="1134" w:type="dxa"/>
            <w:vAlign w:val="center"/>
          </w:tcPr>
          <w:p w14:paraId="1223CCDB" w14:textId="77777777" w:rsidR="0060223F" w:rsidRPr="00791489" w:rsidRDefault="0060223F" w:rsidP="00FF43B9">
            <w:pPr>
              <w:spacing w:before="120" w:after="120"/>
              <w:rPr>
                <w:rFonts w:ascii="Verdana" w:hAnsi="Verdana"/>
                <w:i/>
                <w:color w:val="231F20"/>
                <w:sz w:val="18"/>
              </w:rPr>
            </w:pPr>
          </w:p>
        </w:tc>
      </w:tr>
      <w:tr w:rsidR="0060223F" w:rsidRPr="00791489" w14:paraId="1BDAC1EA" w14:textId="2294B933" w:rsidTr="0060223F">
        <w:tc>
          <w:tcPr>
            <w:tcW w:w="421" w:type="dxa"/>
            <w:tcMar>
              <w:top w:w="28" w:type="dxa"/>
              <w:left w:w="28" w:type="dxa"/>
              <w:bottom w:w="28" w:type="dxa"/>
              <w:right w:w="57" w:type="dxa"/>
            </w:tcMar>
            <w:vAlign w:val="center"/>
          </w:tcPr>
          <w:p w14:paraId="592CA2E7" w14:textId="074DC4AF" w:rsidR="0060223F" w:rsidRPr="00A066D7" w:rsidRDefault="0060223F" w:rsidP="00C330EF">
            <w:pPr>
              <w:spacing w:before="120" w:after="120"/>
              <w:rPr>
                <w:rFonts w:ascii="Verdana" w:hAnsi="Verdana"/>
                <w:b/>
                <w:sz w:val="18"/>
              </w:rPr>
            </w:pPr>
          </w:p>
        </w:tc>
        <w:tc>
          <w:tcPr>
            <w:tcW w:w="992" w:type="dxa"/>
          </w:tcPr>
          <w:p w14:paraId="78E7916F" w14:textId="4644D1AD" w:rsidR="0060223F" w:rsidRPr="00A066D7" w:rsidRDefault="0060223F" w:rsidP="00C330EF">
            <w:pPr>
              <w:spacing w:before="120" w:after="120"/>
              <w:rPr>
                <w:rFonts w:ascii="Verdana" w:hAnsi="Verdana"/>
                <w:b/>
                <w:sz w:val="18"/>
              </w:rPr>
            </w:pPr>
            <w:r w:rsidRPr="00A066D7">
              <w:rPr>
                <w:rFonts w:ascii="Verdana" w:hAnsi="Verdana"/>
                <w:b/>
                <w:sz w:val="18"/>
              </w:rPr>
              <w:t>Rules 7.2 (1)</w:t>
            </w:r>
          </w:p>
        </w:tc>
        <w:tc>
          <w:tcPr>
            <w:tcW w:w="5528" w:type="dxa"/>
          </w:tcPr>
          <w:p w14:paraId="66C3403D" w14:textId="2C6D6F60" w:rsidR="0060223F" w:rsidRPr="00791489" w:rsidRDefault="0060223F" w:rsidP="00C330EF">
            <w:pPr>
              <w:spacing w:before="120" w:after="120"/>
              <w:ind w:right="-12"/>
              <w:rPr>
                <w:rFonts w:ascii="Verdana" w:hAnsi="Verdana"/>
                <w:sz w:val="18"/>
              </w:rPr>
            </w:pPr>
            <w:r w:rsidRPr="00791489">
              <w:rPr>
                <w:rFonts w:ascii="Verdana" w:hAnsi="Verdana"/>
                <w:color w:val="231F20"/>
                <w:sz w:val="18"/>
              </w:rPr>
              <w:t>For paragraph 56ED(3)(b) of the Act, the Information Commissioner may approve a form for a CDR</w:t>
            </w:r>
            <w:r w:rsidRPr="00791489">
              <w:rPr>
                <w:rFonts w:ascii="Verdana" w:hAnsi="Verdana"/>
                <w:color w:val="231F20"/>
                <w:spacing w:val="3"/>
                <w:sz w:val="18"/>
              </w:rPr>
              <w:t xml:space="preserve"> </w:t>
            </w:r>
            <w:r w:rsidRPr="00791489">
              <w:rPr>
                <w:rFonts w:ascii="Verdana" w:hAnsi="Verdana"/>
                <w:color w:val="231F20"/>
                <w:sz w:val="18"/>
              </w:rPr>
              <w:t>policy.</w:t>
            </w:r>
          </w:p>
        </w:tc>
        <w:tc>
          <w:tcPr>
            <w:tcW w:w="5103" w:type="dxa"/>
          </w:tcPr>
          <w:p w14:paraId="2E53451D" w14:textId="77777777" w:rsidR="0060223F" w:rsidRDefault="0060223F" w:rsidP="000F6FAF">
            <w:pPr>
              <w:spacing w:before="120" w:after="120"/>
              <w:rPr>
                <w:rFonts w:ascii="Verdana" w:hAnsi="Verdana"/>
                <w:sz w:val="18"/>
              </w:rPr>
            </w:pPr>
            <w:r>
              <w:rPr>
                <w:rFonts w:ascii="Verdana" w:hAnsi="Verdana"/>
                <w:sz w:val="18"/>
              </w:rPr>
              <w:t>There is currently no defined or approved form for a CDR Policy</w:t>
            </w:r>
          </w:p>
          <w:p w14:paraId="4B8F3477" w14:textId="77777777" w:rsidR="004A4C11" w:rsidRDefault="004A4C11" w:rsidP="004A4C11">
            <w:pPr>
              <w:spacing w:before="120" w:after="120"/>
              <w:rPr>
                <w:rFonts w:ascii="Verdana" w:hAnsi="Verdana"/>
                <w:sz w:val="18"/>
              </w:rPr>
            </w:pPr>
            <w:r>
              <w:rPr>
                <w:rFonts w:ascii="Verdana" w:hAnsi="Verdana"/>
                <w:sz w:val="18"/>
              </w:rPr>
              <w:t>There is some really helpful content in here, especially in Step 2 – Develop content, structure and presentation (don’t consider this policy to need to be like any existing policy)</w:t>
            </w:r>
          </w:p>
          <w:p w14:paraId="4FDC8548" w14:textId="77777777" w:rsidR="004A4C11" w:rsidRDefault="004A4C11" w:rsidP="004A4C11">
            <w:pPr>
              <w:spacing w:before="120" w:after="120"/>
              <w:rPr>
                <w:rFonts w:ascii="Verdana" w:hAnsi="Verdana"/>
                <w:sz w:val="18"/>
              </w:rPr>
            </w:pPr>
            <w:hyperlink r:id="rId22" w:history="1">
              <w:r>
                <w:rPr>
                  <w:rStyle w:val="Hyperlink"/>
                </w:rPr>
                <w:t>https://www.oaic.gov.au/consumer-data-right/guidance-and-advice/guide-to-developing-a-cdr-policy/</w:t>
              </w:r>
            </w:hyperlink>
          </w:p>
          <w:p w14:paraId="6B845A2B" w14:textId="018099F7" w:rsidR="004A4C11" w:rsidRPr="004A4C11" w:rsidRDefault="004A4C11" w:rsidP="000F6FAF">
            <w:pPr>
              <w:spacing w:before="120" w:after="120"/>
              <w:rPr>
                <w:rFonts w:ascii="Verdana" w:hAnsi="Verdana"/>
                <w:sz w:val="18"/>
              </w:rPr>
            </w:pPr>
            <w:r>
              <w:rPr>
                <w:rFonts w:ascii="Verdana" w:hAnsi="Verdana"/>
                <w:sz w:val="18"/>
              </w:rPr>
              <w:t xml:space="preserve">The policy will be reviewed by the ACCC as part of the DR accreditation process </w:t>
            </w:r>
          </w:p>
        </w:tc>
        <w:tc>
          <w:tcPr>
            <w:tcW w:w="1134" w:type="dxa"/>
            <w:shd w:val="clear" w:color="auto" w:fill="92D050"/>
            <w:vAlign w:val="center"/>
          </w:tcPr>
          <w:p w14:paraId="4F84270B" w14:textId="205C67CF" w:rsidR="0060223F" w:rsidRPr="00791489" w:rsidRDefault="0060223F" w:rsidP="00151977">
            <w:pPr>
              <w:spacing w:before="120" w:after="120"/>
              <w:jc w:val="center"/>
              <w:rPr>
                <w:rFonts w:ascii="Verdana" w:hAnsi="Verdana"/>
                <w:sz w:val="18"/>
              </w:rPr>
            </w:pPr>
            <w:r>
              <w:rPr>
                <w:rFonts w:ascii="Verdana" w:hAnsi="Verdana"/>
                <w:sz w:val="18"/>
              </w:rPr>
              <w:t>Yes</w:t>
            </w:r>
          </w:p>
        </w:tc>
        <w:tc>
          <w:tcPr>
            <w:tcW w:w="1134" w:type="dxa"/>
            <w:shd w:val="clear" w:color="auto" w:fill="92D050"/>
            <w:vAlign w:val="center"/>
          </w:tcPr>
          <w:p w14:paraId="3E919000" w14:textId="37ADEA49" w:rsidR="0060223F" w:rsidRPr="00791489" w:rsidRDefault="0060223F" w:rsidP="00482557">
            <w:pPr>
              <w:spacing w:before="120" w:after="120"/>
              <w:jc w:val="center"/>
              <w:rPr>
                <w:rFonts w:ascii="Verdana" w:hAnsi="Verdana"/>
                <w:sz w:val="18"/>
              </w:rPr>
            </w:pPr>
            <w:r>
              <w:rPr>
                <w:rFonts w:ascii="Verdana" w:hAnsi="Verdana"/>
                <w:sz w:val="18"/>
              </w:rPr>
              <w:t>N/A</w:t>
            </w:r>
          </w:p>
        </w:tc>
      </w:tr>
      <w:tr w:rsidR="0060223F" w:rsidRPr="00791489" w14:paraId="4ABDC44E" w14:textId="0CED4CCF" w:rsidTr="0060223F">
        <w:tc>
          <w:tcPr>
            <w:tcW w:w="421" w:type="dxa"/>
            <w:tcMar>
              <w:top w:w="28" w:type="dxa"/>
              <w:left w:w="28" w:type="dxa"/>
              <w:bottom w:w="28" w:type="dxa"/>
              <w:right w:w="57" w:type="dxa"/>
            </w:tcMar>
            <w:vAlign w:val="center"/>
          </w:tcPr>
          <w:p w14:paraId="5D49EA8D" w14:textId="7E555DD4" w:rsidR="0060223F" w:rsidRPr="00A066D7" w:rsidRDefault="0060223F" w:rsidP="00C330EF">
            <w:pPr>
              <w:spacing w:before="120" w:after="120"/>
              <w:rPr>
                <w:rFonts w:ascii="Verdana" w:hAnsi="Verdana"/>
                <w:b/>
                <w:sz w:val="18"/>
              </w:rPr>
            </w:pPr>
          </w:p>
        </w:tc>
        <w:tc>
          <w:tcPr>
            <w:tcW w:w="992" w:type="dxa"/>
          </w:tcPr>
          <w:p w14:paraId="324DFD95" w14:textId="20725595" w:rsidR="0060223F" w:rsidRPr="00A066D7" w:rsidRDefault="0060223F" w:rsidP="00C330EF">
            <w:pPr>
              <w:spacing w:before="120" w:after="120"/>
              <w:rPr>
                <w:rFonts w:ascii="Verdana" w:hAnsi="Verdana"/>
                <w:b/>
                <w:sz w:val="18"/>
              </w:rPr>
            </w:pPr>
            <w:r w:rsidRPr="00A066D7">
              <w:rPr>
                <w:rFonts w:ascii="Verdana" w:hAnsi="Verdana"/>
                <w:b/>
                <w:sz w:val="18"/>
              </w:rPr>
              <w:t>Rules 7.2 (2)</w:t>
            </w:r>
          </w:p>
        </w:tc>
        <w:tc>
          <w:tcPr>
            <w:tcW w:w="5528" w:type="dxa"/>
          </w:tcPr>
          <w:p w14:paraId="75061338" w14:textId="3AAD698D" w:rsidR="0060223F" w:rsidRPr="00791489" w:rsidRDefault="0060223F" w:rsidP="00C330EF">
            <w:pPr>
              <w:spacing w:before="120" w:after="120"/>
              <w:rPr>
                <w:rFonts w:ascii="Verdana" w:hAnsi="Verdana"/>
                <w:sz w:val="18"/>
              </w:rPr>
            </w:pPr>
            <w:r w:rsidRPr="00791489">
              <w:rPr>
                <w:rFonts w:ascii="Verdana" w:hAnsi="Verdana"/>
                <w:sz w:val="18"/>
              </w:rPr>
              <w:t>For paragraph 56ED(3)(b) of the Act, a CDR entity's CDR policy must be in the form of a document that is distinct from any of the CDR entity's privacy policies.</w:t>
            </w:r>
          </w:p>
        </w:tc>
        <w:tc>
          <w:tcPr>
            <w:tcW w:w="5103" w:type="dxa"/>
          </w:tcPr>
          <w:p w14:paraId="794BE895" w14:textId="14809CF3" w:rsidR="0060223F" w:rsidRDefault="0060223F" w:rsidP="00C330EF">
            <w:pPr>
              <w:spacing w:before="120" w:after="120"/>
              <w:rPr>
                <w:rFonts w:ascii="Verdana" w:hAnsi="Verdana"/>
                <w:sz w:val="18"/>
              </w:rPr>
            </w:pPr>
            <w:r w:rsidRPr="00791489">
              <w:rPr>
                <w:rFonts w:ascii="Verdana" w:hAnsi="Verdana"/>
                <w:sz w:val="18"/>
              </w:rPr>
              <w:t xml:space="preserve">We need to create a separate CDR </w:t>
            </w:r>
            <w:r w:rsidR="004A4C11" w:rsidRPr="00791489">
              <w:rPr>
                <w:rFonts w:ascii="Verdana" w:hAnsi="Verdana"/>
                <w:sz w:val="18"/>
              </w:rPr>
              <w:t>policy</w:t>
            </w:r>
            <w:r w:rsidR="004A4C11">
              <w:rPr>
                <w:rFonts w:ascii="Verdana" w:hAnsi="Verdana"/>
                <w:sz w:val="18"/>
              </w:rPr>
              <w:t>;</w:t>
            </w:r>
            <w:r>
              <w:rPr>
                <w:rFonts w:ascii="Verdana" w:hAnsi="Verdana"/>
                <w:sz w:val="18"/>
              </w:rPr>
              <w:t xml:space="preserve"> we can’t adapt an existing policy.  The</w:t>
            </w:r>
            <w:r w:rsidRPr="00791489">
              <w:rPr>
                <w:rFonts w:ascii="Verdana" w:hAnsi="Verdana"/>
                <w:sz w:val="18"/>
              </w:rPr>
              <w:t xml:space="preserve"> reference in the act s</w:t>
            </w:r>
            <w:r>
              <w:rPr>
                <w:rFonts w:ascii="Verdana" w:hAnsi="Verdana"/>
                <w:sz w:val="18"/>
              </w:rPr>
              <w:t>tates</w:t>
            </w:r>
            <w:r w:rsidRPr="00791489">
              <w:rPr>
                <w:rFonts w:ascii="Verdana" w:hAnsi="Verdana"/>
                <w:sz w:val="18"/>
              </w:rPr>
              <w:t xml:space="preserve"> “…is in a form approved in accordance with the consumer data rules…”</w:t>
            </w:r>
          </w:p>
          <w:p w14:paraId="051C403C" w14:textId="7F6FDD10" w:rsidR="004A4C11" w:rsidRPr="00791489" w:rsidRDefault="004A4C11" w:rsidP="00C330EF">
            <w:pPr>
              <w:spacing w:before="120" w:after="120"/>
              <w:rPr>
                <w:rFonts w:ascii="Verdana" w:hAnsi="Verdana"/>
                <w:sz w:val="18"/>
              </w:rPr>
            </w:pPr>
            <w:r>
              <w:rPr>
                <w:rFonts w:ascii="Verdana" w:hAnsi="Verdana"/>
                <w:sz w:val="18"/>
              </w:rPr>
              <w:t>We will have a single policy for CDR covering both DH and DR</w:t>
            </w:r>
            <w:r>
              <w:rPr>
                <w:rFonts w:ascii="Verdana" w:hAnsi="Verdana"/>
                <w:sz w:val="18"/>
              </w:rPr>
              <w:t>.</w:t>
            </w:r>
          </w:p>
        </w:tc>
        <w:tc>
          <w:tcPr>
            <w:tcW w:w="1134" w:type="dxa"/>
            <w:shd w:val="clear" w:color="auto" w:fill="92D050"/>
            <w:vAlign w:val="center"/>
          </w:tcPr>
          <w:p w14:paraId="27D8FF10" w14:textId="55FD64AC" w:rsidR="0060223F" w:rsidRPr="00241292" w:rsidRDefault="0060223F" w:rsidP="00241292">
            <w:pPr>
              <w:spacing w:before="120" w:after="120"/>
              <w:jc w:val="center"/>
              <w:rPr>
                <w:rFonts w:ascii="Verdana" w:hAnsi="Verdana"/>
                <w:sz w:val="18"/>
              </w:rPr>
            </w:pPr>
            <w:r>
              <w:rPr>
                <w:rFonts w:ascii="Verdana" w:hAnsi="Verdana"/>
                <w:sz w:val="18"/>
              </w:rPr>
              <w:t>Yes</w:t>
            </w:r>
          </w:p>
        </w:tc>
        <w:tc>
          <w:tcPr>
            <w:tcW w:w="1134" w:type="dxa"/>
            <w:shd w:val="clear" w:color="auto" w:fill="92D050"/>
            <w:vAlign w:val="center"/>
          </w:tcPr>
          <w:p w14:paraId="06A85A26" w14:textId="5340F66C" w:rsidR="0060223F" w:rsidRPr="00791489" w:rsidRDefault="0060223F" w:rsidP="00482557">
            <w:pPr>
              <w:spacing w:before="120" w:after="120"/>
              <w:jc w:val="center"/>
              <w:rPr>
                <w:rFonts w:ascii="Verdana" w:hAnsi="Verdana"/>
                <w:sz w:val="18"/>
              </w:rPr>
            </w:pPr>
            <w:r>
              <w:rPr>
                <w:rFonts w:ascii="Verdana" w:hAnsi="Verdana"/>
                <w:sz w:val="18"/>
              </w:rPr>
              <w:t>Yes</w:t>
            </w:r>
          </w:p>
        </w:tc>
      </w:tr>
      <w:tr w:rsidR="0060223F" w:rsidRPr="00791489" w14:paraId="43D3B386" w14:textId="50F7E9C8" w:rsidTr="0060223F">
        <w:tc>
          <w:tcPr>
            <w:tcW w:w="421" w:type="dxa"/>
            <w:tcMar>
              <w:top w:w="28" w:type="dxa"/>
              <w:left w:w="28" w:type="dxa"/>
              <w:bottom w:w="28" w:type="dxa"/>
              <w:right w:w="57" w:type="dxa"/>
            </w:tcMar>
            <w:vAlign w:val="center"/>
          </w:tcPr>
          <w:p w14:paraId="6B625EBA" w14:textId="77777777" w:rsidR="0060223F" w:rsidRPr="00791489" w:rsidRDefault="0060223F" w:rsidP="00FF43B9">
            <w:pPr>
              <w:spacing w:before="120" w:after="120"/>
              <w:rPr>
                <w:rFonts w:ascii="Verdana" w:hAnsi="Verdana"/>
                <w:i/>
                <w:color w:val="231F20"/>
                <w:sz w:val="18"/>
              </w:rPr>
            </w:pPr>
          </w:p>
        </w:tc>
        <w:tc>
          <w:tcPr>
            <w:tcW w:w="12757" w:type="dxa"/>
            <w:gridSpan w:val="4"/>
            <w:vAlign w:val="center"/>
          </w:tcPr>
          <w:p w14:paraId="68CE0CF3" w14:textId="77B8109D" w:rsidR="0060223F" w:rsidRPr="00791489" w:rsidRDefault="0060223F" w:rsidP="00FF43B9">
            <w:pPr>
              <w:spacing w:before="120" w:after="120"/>
              <w:rPr>
                <w:rFonts w:ascii="Verdana" w:hAnsi="Verdana"/>
                <w:i/>
                <w:color w:val="231F20"/>
                <w:sz w:val="18"/>
              </w:rPr>
            </w:pPr>
            <w:r w:rsidRPr="00791489">
              <w:rPr>
                <w:rFonts w:ascii="Verdana" w:hAnsi="Verdana"/>
                <w:i/>
                <w:color w:val="231F20"/>
                <w:sz w:val="18"/>
              </w:rPr>
              <w:t>Additional information for CDR policy</w:t>
            </w:r>
          </w:p>
        </w:tc>
        <w:tc>
          <w:tcPr>
            <w:tcW w:w="1134" w:type="dxa"/>
            <w:vAlign w:val="center"/>
          </w:tcPr>
          <w:p w14:paraId="51D074DF" w14:textId="77777777" w:rsidR="0060223F" w:rsidRPr="00791489" w:rsidRDefault="0060223F" w:rsidP="00FF43B9">
            <w:pPr>
              <w:spacing w:before="120" w:after="120"/>
              <w:rPr>
                <w:rFonts w:ascii="Verdana" w:hAnsi="Verdana"/>
                <w:i/>
                <w:color w:val="231F20"/>
                <w:sz w:val="18"/>
              </w:rPr>
            </w:pPr>
          </w:p>
        </w:tc>
      </w:tr>
      <w:tr w:rsidR="0060223F" w:rsidRPr="00791489" w14:paraId="331B14FB" w14:textId="4AD8D1FC" w:rsidTr="0060223F">
        <w:tc>
          <w:tcPr>
            <w:tcW w:w="421" w:type="dxa"/>
            <w:tcMar>
              <w:top w:w="28" w:type="dxa"/>
              <w:left w:w="28" w:type="dxa"/>
              <w:bottom w:w="28" w:type="dxa"/>
              <w:right w:w="57" w:type="dxa"/>
            </w:tcMar>
            <w:vAlign w:val="center"/>
          </w:tcPr>
          <w:p w14:paraId="1B7A51C8" w14:textId="77777777" w:rsidR="0060223F" w:rsidRPr="00A066D7" w:rsidRDefault="0060223F" w:rsidP="00E64A4A">
            <w:pPr>
              <w:spacing w:before="120" w:after="120"/>
              <w:rPr>
                <w:rFonts w:ascii="Verdana" w:hAnsi="Verdana"/>
                <w:b/>
                <w:sz w:val="18"/>
              </w:rPr>
            </w:pPr>
          </w:p>
        </w:tc>
        <w:tc>
          <w:tcPr>
            <w:tcW w:w="992" w:type="dxa"/>
          </w:tcPr>
          <w:p w14:paraId="48B73CE8" w14:textId="37D903FA" w:rsidR="0060223F" w:rsidRPr="00A066D7" w:rsidRDefault="0060223F" w:rsidP="00E64A4A">
            <w:pPr>
              <w:spacing w:before="120" w:after="120"/>
              <w:rPr>
                <w:rFonts w:ascii="Verdana" w:hAnsi="Verdana"/>
                <w:b/>
                <w:sz w:val="18"/>
              </w:rPr>
            </w:pPr>
            <w:r w:rsidRPr="00A066D7">
              <w:rPr>
                <w:rFonts w:ascii="Verdana" w:hAnsi="Verdana"/>
                <w:b/>
                <w:sz w:val="18"/>
              </w:rPr>
              <w:t>Rules 7.2 (3)</w:t>
            </w:r>
          </w:p>
        </w:tc>
        <w:tc>
          <w:tcPr>
            <w:tcW w:w="11765" w:type="dxa"/>
            <w:gridSpan w:val="3"/>
            <w:vAlign w:val="center"/>
          </w:tcPr>
          <w:p w14:paraId="38A87EF3" w14:textId="02063B93" w:rsidR="0060223F" w:rsidRPr="00791489" w:rsidRDefault="0060223F" w:rsidP="00E64A4A">
            <w:pPr>
              <w:spacing w:before="120" w:after="120"/>
              <w:rPr>
                <w:rFonts w:ascii="Verdana" w:hAnsi="Verdana"/>
                <w:sz w:val="18"/>
              </w:rPr>
            </w:pPr>
            <w:r w:rsidRPr="00791489">
              <w:rPr>
                <w:rFonts w:ascii="Verdana" w:hAnsi="Verdana"/>
                <w:sz w:val="18"/>
              </w:rPr>
              <w:t>In addition to the information referred to in subsection 56ED(4) of the Act, a data holder's CDR policy must indicate:</w:t>
            </w:r>
          </w:p>
        </w:tc>
        <w:tc>
          <w:tcPr>
            <w:tcW w:w="1134" w:type="dxa"/>
            <w:vAlign w:val="center"/>
          </w:tcPr>
          <w:p w14:paraId="7AFC8477" w14:textId="77777777" w:rsidR="0060223F" w:rsidRPr="00791489" w:rsidRDefault="0060223F" w:rsidP="00E64A4A">
            <w:pPr>
              <w:spacing w:before="120" w:after="120"/>
              <w:rPr>
                <w:rFonts w:ascii="Verdana" w:hAnsi="Verdana"/>
                <w:sz w:val="18"/>
              </w:rPr>
            </w:pPr>
          </w:p>
        </w:tc>
      </w:tr>
      <w:tr w:rsidR="0060223F" w:rsidRPr="00791489" w14:paraId="3E2ABA72" w14:textId="38486763" w:rsidTr="00B051D3">
        <w:tc>
          <w:tcPr>
            <w:tcW w:w="421" w:type="dxa"/>
            <w:tcMar>
              <w:top w:w="28" w:type="dxa"/>
              <w:left w:w="28" w:type="dxa"/>
              <w:bottom w:w="28" w:type="dxa"/>
              <w:right w:w="57" w:type="dxa"/>
            </w:tcMar>
            <w:vAlign w:val="center"/>
          </w:tcPr>
          <w:p w14:paraId="233DED7E" w14:textId="4D7F25EB" w:rsidR="0060223F" w:rsidRPr="00791489" w:rsidRDefault="00C21967" w:rsidP="00E64A4A">
            <w:pPr>
              <w:spacing w:before="120" w:after="120"/>
              <w:jc w:val="right"/>
              <w:rPr>
                <w:rFonts w:ascii="Verdana" w:hAnsi="Verdana"/>
                <w:sz w:val="18"/>
              </w:rPr>
            </w:pPr>
            <w:r>
              <w:rPr>
                <w:rFonts w:ascii="Verdana" w:hAnsi="Verdana"/>
                <w:b/>
                <w:noProof/>
                <w:sz w:val="18"/>
              </w:rPr>
              <w:drawing>
                <wp:inline distT="0" distB="0" distL="0" distR="0" wp14:anchorId="21DE98FE" wp14:editId="739FFBF9">
                  <wp:extent cx="230400" cy="230400"/>
                  <wp:effectExtent l="0" t="0" r="0" b="0"/>
                  <wp:docPr id="5" name="Picture 5"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circled-h-9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inline>
              </w:drawing>
            </w:r>
          </w:p>
        </w:tc>
        <w:tc>
          <w:tcPr>
            <w:tcW w:w="992" w:type="dxa"/>
          </w:tcPr>
          <w:p w14:paraId="0644B851" w14:textId="3EA035D4" w:rsidR="0060223F" w:rsidRPr="00791489" w:rsidRDefault="0060223F" w:rsidP="00E64A4A">
            <w:pPr>
              <w:spacing w:before="120" w:after="120"/>
              <w:jc w:val="right"/>
              <w:rPr>
                <w:rFonts w:ascii="Verdana" w:hAnsi="Verdana"/>
                <w:sz w:val="18"/>
              </w:rPr>
            </w:pPr>
            <w:r w:rsidRPr="00791489">
              <w:rPr>
                <w:rFonts w:ascii="Verdana" w:hAnsi="Verdana"/>
                <w:sz w:val="18"/>
              </w:rPr>
              <w:t>(a)</w:t>
            </w:r>
          </w:p>
        </w:tc>
        <w:tc>
          <w:tcPr>
            <w:tcW w:w="5528" w:type="dxa"/>
          </w:tcPr>
          <w:p w14:paraId="3CBF53F6" w14:textId="77777777" w:rsidR="0060223F" w:rsidRDefault="0060223F" w:rsidP="00E64A4A">
            <w:pPr>
              <w:spacing w:before="120" w:after="120"/>
              <w:rPr>
                <w:rFonts w:ascii="Verdana" w:hAnsi="Verdana"/>
                <w:sz w:val="18"/>
              </w:rPr>
            </w:pPr>
            <w:r w:rsidRPr="00791489">
              <w:rPr>
                <w:rFonts w:ascii="Verdana" w:hAnsi="Verdana"/>
                <w:sz w:val="18"/>
              </w:rPr>
              <w:t>whether it accepts requests for:</w:t>
            </w:r>
          </w:p>
          <w:p w14:paraId="40D99E7D" w14:textId="77777777" w:rsidR="0060223F" w:rsidRPr="007D3B3F" w:rsidRDefault="0060223F" w:rsidP="007D3B3F">
            <w:pPr>
              <w:pStyle w:val="ListParagraph"/>
              <w:numPr>
                <w:ilvl w:val="0"/>
                <w:numId w:val="6"/>
              </w:numPr>
              <w:spacing w:before="120" w:after="120"/>
              <w:rPr>
                <w:rFonts w:ascii="Verdana" w:eastAsiaTheme="minorHAnsi" w:hAnsi="Verdana" w:cstheme="minorBidi"/>
                <w:sz w:val="18"/>
                <w:lang w:val="en-AU"/>
              </w:rPr>
            </w:pPr>
            <w:r w:rsidRPr="007D3B3F">
              <w:rPr>
                <w:rFonts w:ascii="Verdana" w:eastAsiaTheme="minorHAnsi" w:hAnsi="Verdana" w:cstheme="minorBidi"/>
                <w:sz w:val="18"/>
                <w:lang w:val="en-AU"/>
              </w:rPr>
              <w:t>voluntary product data; or</w:t>
            </w:r>
          </w:p>
          <w:p w14:paraId="155FA7A3" w14:textId="3D8560A6" w:rsidR="0060223F" w:rsidRPr="00791489" w:rsidRDefault="0060223F" w:rsidP="007D3B3F">
            <w:pPr>
              <w:pStyle w:val="ListParagraph"/>
              <w:numPr>
                <w:ilvl w:val="0"/>
                <w:numId w:val="6"/>
              </w:numPr>
              <w:spacing w:before="120" w:after="120"/>
              <w:rPr>
                <w:rFonts w:ascii="Verdana" w:hAnsi="Verdana"/>
                <w:sz w:val="18"/>
              </w:rPr>
            </w:pPr>
            <w:r w:rsidRPr="007D3B3F">
              <w:rPr>
                <w:rFonts w:ascii="Verdana" w:eastAsiaTheme="minorHAnsi" w:hAnsi="Verdana" w:cstheme="minorBidi"/>
                <w:sz w:val="18"/>
                <w:lang w:val="en-AU"/>
              </w:rPr>
              <w:t>voluntary consumer data; and</w:t>
            </w:r>
          </w:p>
        </w:tc>
        <w:tc>
          <w:tcPr>
            <w:tcW w:w="5103" w:type="dxa"/>
          </w:tcPr>
          <w:p w14:paraId="11AED223" w14:textId="68E84094" w:rsidR="0060223F" w:rsidRPr="00791489" w:rsidRDefault="0060223F" w:rsidP="00C21967">
            <w:pPr>
              <w:spacing w:before="120" w:after="120"/>
              <w:rPr>
                <w:rFonts w:ascii="Verdana" w:hAnsi="Verdana"/>
                <w:sz w:val="18"/>
              </w:rPr>
            </w:pPr>
            <w:r>
              <w:rPr>
                <w:rFonts w:ascii="Verdana" w:hAnsi="Verdana"/>
                <w:sz w:val="18"/>
              </w:rPr>
              <w:t>Voluntary data is data outside the scope of CDR</w:t>
            </w:r>
            <w:r w:rsidR="00C21967">
              <w:rPr>
                <w:rFonts w:ascii="Verdana" w:hAnsi="Verdana"/>
                <w:sz w:val="18"/>
              </w:rPr>
              <w:t xml:space="preserve"> and is aimed to allow DHs to offer additional information to </w:t>
            </w:r>
            <w:proofErr w:type="spellStart"/>
            <w:r w:rsidR="00C21967">
              <w:rPr>
                <w:rFonts w:ascii="Verdana" w:hAnsi="Verdana"/>
                <w:sz w:val="18"/>
              </w:rPr>
              <w:t>DRs.</w:t>
            </w:r>
            <w:proofErr w:type="spellEnd"/>
          </w:p>
        </w:tc>
        <w:tc>
          <w:tcPr>
            <w:tcW w:w="1134" w:type="dxa"/>
            <w:shd w:val="clear" w:color="auto" w:fill="92D050"/>
            <w:tcMar>
              <w:left w:w="57" w:type="dxa"/>
              <w:right w:w="57" w:type="dxa"/>
            </w:tcMar>
            <w:vAlign w:val="center"/>
          </w:tcPr>
          <w:p w14:paraId="7AC04BD9" w14:textId="7EE8A05C" w:rsidR="0060223F" w:rsidRPr="00791489" w:rsidRDefault="0060223F" w:rsidP="0054178C">
            <w:pPr>
              <w:spacing w:before="120" w:after="120"/>
              <w:jc w:val="center"/>
              <w:rPr>
                <w:rFonts w:ascii="Verdana" w:hAnsi="Verdana"/>
                <w:sz w:val="18"/>
              </w:rPr>
            </w:pPr>
            <w:r>
              <w:rPr>
                <w:rFonts w:ascii="Verdana" w:hAnsi="Verdana"/>
                <w:sz w:val="18"/>
              </w:rPr>
              <w:t>Yes</w:t>
            </w:r>
          </w:p>
        </w:tc>
        <w:tc>
          <w:tcPr>
            <w:tcW w:w="1134" w:type="dxa"/>
            <w:shd w:val="clear" w:color="auto" w:fill="FFC000"/>
            <w:tcMar>
              <w:left w:w="57" w:type="dxa"/>
              <w:right w:w="57" w:type="dxa"/>
            </w:tcMar>
            <w:vAlign w:val="center"/>
          </w:tcPr>
          <w:p w14:paraId="4CB31269" w14:textId="7F9D5E16" w:rsidR="0060223F" w:rsidRPr="00791489" w:rsidRDefault="00C21967" w:rsidP="00596902">
            <w:pPr>
              <w:spacing w:before="120" w:after="120"/>
              <w:jc w:val="center"/>
              <w:rPr>
                <w:rFonts w:ascii="Verdana" w:hAnsi="Verdana"/>
                <w:sz w:val="18"/>
              </w:rPr>
            </w:pPr>
            <w:r>
              <w:rPr>
                <w:rFonts w:ascii="Verdana" w:hAnsi="Verdana"/>
                <w:sz w:val="18"/>
              </w:rPr>
              <w:t>No</w:t>
            </w:r>
            <w:r w:rsidR="00B051D3">
              <w:rPr>
                <w:rFonts w:ascii="Verdana" w:hAnsi="Verdana"/>
                <w:sz w:val="18"/>
              </w:rPr>
              <w:t>t Fully</w:t>
            </w:r>
          </w:p>
        </w:tc>
      </w:tr>
      <w:tr w:rsidR="0060223F" w:rsidRPr="00791489" w14:paraId="2D8770AF" w14:textId="11049AEB" w:rsidTr="00B051D3">
        <w:tc>
          <w:tcPr>
            <w:tcW w:w="421" w:type="dxa"/>
            <w:tcMar>
              <w:top w:w="28" w:type="dxa"/>
              <w:left w:w="28" w:type="dxa"/>
              <w:bottom w:w="28" w:type="dxa"/>
              <w:right w:w="57" w:type="dxa"/>
            </w:tcMar>
            <w:vAlign w:val="center"/>
          </w:tcPr>
          <w:p w14:paraId="612246EC" w14:textId="6D054232" w:rsidR="0060223F" w:rsidRPr="00791489" w:rsidRDefault="00C21967" w:rsidP="00E64A4A">
            <w:pPr>
              <w:spacing w:before="120" w:after="120"/>
              <w:jc w:val="right"/>
              <w:rPr>
                <w:rFonts w:ascii="Verdana" w:hAnsi="Verdana"/>
                <w:sz w:val="18"/>
              </w:rPr>
            </w:pPr>
            <w:r>
              <w:rPr>
                <w:rFonts w:ascii="Verdana" w:hAnsi="Verdana"/>
                <w:b/>
                <w:noProof/>
                <w:sz w:val="18"/>
              </w:rPr>
              <w:lastRenderedPageBreak/>
              <w:drawing>
                <wp:inline distT="0" distB="0" distL="0" distR="0" wp14:anchorId="7DC97810" wp14:editId="3510006A">
                  <wp:extent cx="230400" cy="230400"/>
                  <wp:effectExtent l="0" t="0" r="0" b="0"/>
                  <wp:docPr id="7" name="Picture 7"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circled-h-9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inline>
              </w:drawing>
            </w:r>
          </w:p>
        </w:tc>
        <w:tc>
          <w:tcPr>
            <w:tcW w:w="992" w:type="dxa"/>
          </w:tcPr>
          <w:p w14:paraId="083F6F93" w14:textId="19CCCEB2" w:rsidR="0060223F" w:rsidRPr="00791489" w:rsidRDefault="0060223F" w:rsidP="00E64A4A">
            <w:pPr>
              <w:spacing w:before="120" w:after="120"/>
              <w:jc w:val="right"/>
              <w:rPr>
                <w:rFonts w:ascii="Verdana" w:hAnsi="Verdana"/>
                <w:sz w:val="18"/>
              </w:rPr>
            </w:pPr>
            <w:r w:rsidRPr="00791489">
              <w:rPr>
                <w:rFonts w:ascii="Verdana" w:hAnsi="Verdana"/>
                <w:sz w:val="18"/>
              </w:rPr>
              <w:t>(b)</w:t>
            </w:r>
          </w:p>
        </w:tc>
        <w:tc>
          <w:tcPr>
            <w:tcW w:w="5528" w:type="dxa"/>
          </w:tcPr>
          <w:p w14:paraId="21B3BE86" w14:textId="77777777" w:rsidR="0060223F" w:rsidRPr="00791489" w:rsidRDefault="0060223F" w:rsidP="00E64A4A">
            <w:pPr>
              <w:spacing w:before="120" w:after="120"/>
              <w:rPr>
                <w:rFonts w:ascii="Verdana" w:hAnsi="Verdana"/>
                <w:sz w:val="18"/>
              </w:rPr>
            </w:pPr>
            <w:r w:rsidRPr="00791489">
              <w:rPr>
                <w:rFonts w:ascii="Verdana" w:hAnsi="Verdana"/>
                <w:sz w:val="18"/>
              </w:rPr>
              <w:t>if so:</w:t>
            </w:r>
          </w:p>
          <w:p w14:paraId="02674853" w14:textId="77777777" w:rsidR="0060223F" w:rsidRPr="007D3B3F" w:rsidRDefault="0060223F" w:rsidP="007D3B3F">
            <w:pPr>
              <w:pStyle w:val="ListParagraph"/>
              <w:numPr>
                <w:ilvl w:val="0"/>
                <w:numId w:val="32"/>
              </w:numPr>
              <w:spacing w:before="120" w:after="120"/>
              <w:rPr>
                <w:rFonts w:ascii="Verdana" w:eastAsiaTheme="minorHAnsi" w:hAnsi="Verdana" w:cstheme="minorBidi"/>
                <w:sz w:val="18"/>
                <w:lang w:val="en-AU"/>
              </w:rPr>
            </w:pPr>
            <w:r w:rsidRPr="007D3B3F">
              <w:rPr>
                <w:rFonts w:ascii="Verdana" w:eastAsiaTheme="minorHAnsi" w:hAnsi="Verdana" w:cstheme="minorBidi"/>
                <w:sz w:val="18"/>
                <w:lang w:val="en-AU"/>
              </w:rPr>
              <w:t>whether it charges fees for disclosure of such data; and</w:t>
            </w:r>
          </w:p>
          <w:p w14:paraId="04A80ACF" w14:textId="7BB8FA4D" w:rsidR="0060223F" w:rsidRPr="00791489" w:rsidRDefault="0060223F" w:rsidP="007D3B3F">
            <w:pPr>
              <w:pStyle w:val="ListParagraph"/>
              <w:numPr>
                <w:ilvl w:val="0"/>
                <w:numId w:val="32"/>
              </w:numPr>
              <w:spacing w:before="120" w:after="120"/>
              <w:rPr>
                <w:rFonts w:ascii="Verdana" w:hAnsi="Verdana"/>
                <w:sz w:val="18"/>
              </w:rPr>
            </w:pPr>
            <w:r w:rsidRPr="007D3B3F">
              <w:rPr>
                <w:rFonts w:ascii="Verdana" w:eastAsiaTheme="minorHAnsi" w:hAnsi="Verdana" w:cstheme="minorBidi"/>
                <w:sz w:val="18"/>
                <w:lang w:val="en-AU"/>
              </w:rPr>
              <w:t>if it does-how information about those fees can be obtained.</w:t>
            </w:r>
          </w:p>
        </w:tc>
        <w:tc>
          <w:tcPr>
            <w:tcW w:w="5103" w:type="dxa"/>
          </w:tcPr>
          <w:p w14:paraId="3DB367B7" w14:textId="3A2C27E8" w:rsidR="0060223F" w:rsidRPr="00791489" w:rsidRDefault="00803B8A" w:rsidP="00E64A4A">
            <w:pPr>
              <w:spacing w:before="120" w:after="120"/>
              <w:rPr>
                <w:rFonts w:ascii="Verdana" w:hAnsi="Verdana"/>
                <w:sz w:val="18"/>
              </w:rPr>
            </w:pPr>
            <w:r>
              <w:rPr>
                <w:rFonts w:ascii="Verdana" w:hAnsi="Verdana"/>
                <w:sz w:val="18"/>
              </w:rPr>
              <w:t>We n</w:t>
            </w:r>
            <w:r w:rsidR="00C21967">
              <w:rPr>
                <w:rFonts w:ascii="Verdana" w:hAnsi="Verdana"/>
                <w:sz w:val="18"/>
              </w:rPr>
              <w:t>eed to de</w:t>
            </w:r>
            <w:r>
              <w:rPr>
                <w:rFonts w:ascii="Verdana" w:hAnsi="Verdana"/>
                <w:sz w:val="18"/>
              </w:rPr>
              <w:t>cide</w:t>
            </w:r>
            <w:r w:rsidR="00C21967">
              <w:rPr>
                <w:rFonts w:ascii="Verdana" w:hAnsi="Verdana"/>
                <w:sz w:val="18"/>
              </w:rPr>
              <w:t xml:space="preserve"> if fees may be charged for disclosure of voluntary data.</w:t>
            </w:r>
          </w:p>
        </w:tc>
        <w:tc>
          <w:tcPr>
            <w:tcW w:w="1134" w:type="dxa"/>
            <w:shd w:val="clear" w:color="auto" w:fill="92D050"/>
            <w:tcMar>
              <w:left w:w="57" w:type="dxa"/>
              <w:right w:w="57" w:type="dxa"/>
            </w:tcMar>
            <w:vAlign w:val="center"/>
          </w:tcPr>
          <w:p w14:paraId="269E9A05" w14:textId="7EE910D4" w:rsidR="0060223F" w:rsidRPr="00791489" w:rsidRDefault="00B051D3" w:rsidP="0054178C">
            <w:pPr>
              <w:spacing w:before="120" w:after="120"/>
              <w:jc w:val="center"/>
              <w:rPr>
                <w:rFonts w:ascii="Verdana" w:hAnsi="Verdana"/>
                <w:sz w:val="18"/>
              </w:rPr>
            </w:pPr>
            <w:r>
              <w:rPr>
                <w:rFonts w:ascii="Verdana" w:hAnsi="Verdana"/>
                <w:sz w:val="18"/>
              </w:rPr>
              <w:t>Yes</w:t>
            </w:r>
          </w:p>
        </w:tc>
        <w:tc>
          <w:tcPr>
            <w:tcW w:w="1134" w:type="dxa"/>
            <w:shd w:val="clear" w:color="auto" w:fill="FF5C29"/>
            <w:tcMar>
              <w:left w:w="57" w:type="dxa"/>
              <w:right w:w="57" w:type="dxa"/>
            </w:tcMar>
            <w:vAlign w:val="center"/>
          </w:tcPr>
          <w:p w14:paraId="78B7D98C" w14:textId="7E0256C7" w:rsidR="0060223F" w:rsidRPr="00791489" w:rsidRDefault="00B051D3" w:rsidP="0011661E">
            <w:pPr>
              <w:spacing w:before="120" w:after="120"/>
              <w:jc w:val="center"/>
              <w:rPr>
                <w:rFonts w:ascii="Verdana" w:hAnsi="Verdana"/>
                <w:sz w:val="18"/>
              </w:rPr>
            </w:pPr>
            <w:r>
              <w:rPr>
                <w:rFonts w:ascii="Verdana" w:hAnsi="Verdana"/>
                <w:sz w:val="18"/>
              </w:rPr>
              <w:t>No</w:t>
            </w:r>
          </w:p>
        </w:tc>
      </w:tr>
      <w:tr w:rsidR="0060223F" w:rsidRPr="00791489" w14:paraId="176D18C6" w14:textId="78110AA8" w:rsidTr="0060223F">
        <w:tc>
          <w:tcPr>
            <w:tcW w:w="421" w:type="dxa"/>
            <w:tcMar>
              <w:top w:w="28" w:type="dxa"/>
              <w:left w:w="28" w:type="dxa"/>
              <w:bottom w:w="28" w:type="dxa"/>
              <w:right w:w="57" w:type="dxa"/>
            </w:tcMar>
            <w:vAlign w:val="center"/>
          </w:tcPr>
          <w:p w14:paraId="72224AA5" w14:textId="77777777" w:rsidR="0060223F" w:rsidRPr="00A066D7" w:rsidRDefault="0060223F" w:rsidP="00C330EF">
            <w:pPr>
              <w:spacing w:before="120" w:after="120"/>
              <w:rPr>
                <w:rFonts w:ascii="Verdana" w:hAnsi="Verdana"/>
                <w:b/>
                <w:sz w:val="18"/>
              </w:rPr>
            </w:pPr>
          </w:p>
        </w:tc>
        <w:tc>
          <w:tcPr>
            <w:tcW w:w="992" w:type="dxa"/>
          </w:tcPr>
          <w:p w14:paraId="6A6BBF59" w14:textId="7B07B7C7" w:rsidR="0060223F" w:rsidRPr="00A066D7" w:rsidRDefault="0060223F" w:rsidP="00C330EF">
            <w:pPr>
              <w:spacing w:before="120" w:after="120"/>
              <w:rPr>
                <w:rFonts w:ascii="Verdana" w:hAnsi="Verdana"/>
                <w:b/>
                <w:sz w:val="18"/>
              </w:rPr>
            </w:pPr>
            <w:r w:rsidRPr="00A066D7">
              <w:rPr>
                <w:rFonts w:ascii="Verdana" w:hAnsi="Verdana"/>
                <w:b/>
                <w:sz w:val="18"/>
              </w:rPr>
              <w:t>Rules 7.2 (4)</w:t>
            </w:r>
          </w:p>
        </w:tc>
        <w:tc>
          <w:tcPr>
            <w:tcW w:w="11765" w:type="dxa"/>
            <w:gridSpan w:val="3"/>
            <w:vAlign w:val="center"/>
          </w:tcPr>
          <w:p w14:paraId="052C8168" w14:textId="7168E29A" w:rsidR="0060223F" w:rsidRPr="00791489" w:rsidRDefault="0060223F" w:rsidP="00C330EF">
            <w:pPr>
              <w:spacing w:before="120" w:after="120"/>
              <w:rPr>
                <w:rFonts w:ascii="Verdana" w:hAnsi="Verdana"/>
                <w:sz w:val="18"/>
              </w:rPr>
            </w:pPr>
            <w:r w:rsidRPr="00791489">
              <w:rPr>
                <w:rFonts w:ascii="Verdana" w:hAnsi="Verdana"/>
                <w:sz w:val="18"/>
              </w:rPr>
              <w:t>In addition to the information referred to in subsection 56ED(5) of the Act, an accredited data recipient's CDR policy must:</w:t>
            </w:r>
          </w:p>
        </w:tc>
        <w:tc>
          <w:tcPr>
            <w:tcW w:w="1134" w:type="dxa"/>
            <w:vAlign w:val="center"/>
          </w:tcPr>
          <w:p w14:paraId="40D2BA8E" w14:textId="77777777" w:rsidR="0060223F" w:rsidRPr="00791489" w:rsidRDefault="0060223F" w:rsidP="00C330EF">
            <w:pPr>
              <w:spacing w:before="120" w:after="120"/>
              <w:rPr>
                <w:rFonts w:ascii="Verdana" w:hAnsi="Verdana"/>
                <w:sz w:val="18"/>
              </w:rPr>
            </w:pPr>
          </w:p>
        </w:tc>
      </w:tr>
      <w:tr w:rsidR="0060223F" w:rsidRPr="00791489" w14:paraId="3EEB6D54" w14:textId="4AA619D9" w:rsidTr="00B051D3">
        <w:tc>
          <w:tcPr>
            <w:tcW w:w="421" w:type="dxa"/>
            <w:tcMar>
              <w:top w:w="28" w:type="dxa"/>
              <w:left w:w="28" w:type="dxa"/>
              <w:bottom w:w="28" w:type="dxa"/>
              <w:right w:w="57" w:type="dxa"/>
            </w:tcMar>
            <w:vAlign w:val="center"/>
          </w:tcPr>
          <w:p w14:paraId="344A50B1" w14:textId="2BFD89B9" w:rsidR="0060223F" w:rsidRPr="00791489" w:rsidRDefault="00C21967" w:rsidP="005F6E83">
            <w:pPr>
              <w:spacing w:before="120" w:after="120"/>
              <w:jc w:val="right"/>
              <w:rPr>
                <w:rFonts w:ascii="Verdana" w:hAnsi="Verdana"/>
                <w:sz w:val="18"/>
              </w:rPr>
            </w:pPr>
            <w:r>
              <w:rPr>
                <w:rFonts w:ascii="Verdana" w:hAnsi="Verdana"/>
                <w:b/>
                <w:noProof/>
                <w:sz w:val="18"/>
              </w:rPr>
              <w:drawing>
                <wp:inline distT="0" distB="0" distL="0" distR="0" wp14:anchorId="389953DA" wp14:editId="6D329D45">
                  <wp:extent cx="213360" cy="213360"/>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1075CCF3" w14:textId="289697CD" w:rsidR="0060223F" w:rsidRPr="00791489" w:rsidRDefault="0060223F" w:rsidP="005F6E83">
            <w:pPr>
              <w:spacing w:before="120" w:after="120"/>
              <w:jc w:val="right"/>
              <w:rPr>
                <w:rFonts w:ascii="Verdana" w:hAnsi="Verdana"/>
                <w:sz w:val="18"/>
              </w:rPr>
            </w:pPr>
            <w:r w:rsidRPr="00791489">
              <w:rPr>
                <w:rFonts w:ascii="Verdana" w:hAnsi="Verdana"/>
                <w:sz w:val="18"/>
              </w:rPr>
              <w:t>(a)</w:t>
            </w:r>
          </w:p>
        </w:tc>
        <w:tc>
          <w:tcPr>
            <w:tcW w:w="5528" w:type="dxa"/>
          </w:tcPr>
          <w:p w14:paraId="124448E4" w14:textId="674483BD" w:rsidR="0060223F" w:rsidRPr="00791489" w:rsidRDefault="0060223F" w:rsidP="00C330EF">
            <w:pPr>
              <w:spacing w:before="120" w:after="120"/>
              <w:rPr>
                <w:rFonts w:ascii="Verdana" w:hAnsi="Verdana"/>
                <w:sz w:val="18"/>
              </w:rPr>
            </w:pPr>
            <w:r w:rsidRPr="00791489">
              <w:rPr>
                <w:rFonts w:ascii="Verdana" w:hAnsi="Verdana"/>
                <w:sz w:val="18"/>
              </w:rPr>
              <w:t>include a statement indicating the consequences to the CDR consumer if they withdraw a consent to collect and use CDR data; and</w:t>
            </w:r>
          </w:p>
        </w:tc>
        <w:tc>
          <w:tcPr>
            <w:tcW w:w="5103" w:type="dxa"/>
          </w:tcPr>
          <w:p w14:paraId="60AD18A9" w14:textId="02735FCD" w:rsidR="0060223F" w:rsidRPr="00791489" w:rsidRDefault="00C21967" w:rsidP="7334004C">
            <w:pPr>
              <w:spacing w:before="120" w:after="120"/>
              <w:rPr>
                <w:rFonts w:ascii="Verdana" w:hAnsi="Verdana"/>
                <w:sz w:val="18"/>
                <w:szCs w:val="18"/>
              </w:rPr>
            </w:pPr>
            <w:r>
              <w:rPr>
                <w:rFonts w:ascii="Verdana" w:hAnsi="Verdana"/>
                <w:sz w:val="18"/>
                <w:szCs w:val="18"/>
              </w:rPr>
              <w:t>Depending on when consent is withdrawn, this might mean it is not possible to provide some services to the consumer.</w:t>
            </w:r>
            <w:r w:rsidR="004A4C11">
              <w:rPr>
                <w:rFonts w:ascii="Verdana" w:hAnsi="Verdana"/>
                <w:sz w:val="18"/>
                <w:szCs w:val="18"/>
              </w:rPr>
              <w:t xml:space="preserve">  No fees will be charged for this.</w:t>
            </w:r>
          </w:p>
        </w:tc>
        <w:tc>
          <w:tcPr>
            <w:tcW w:w="1134" w:type="dxa"/>
            <w:shd w:val="clear" w:color="auto" w:fill="auto"/>
            <w:vAlign w:val="center"/>
          </w:tcPr>
          <w:p w14:paraId="6B97F052" w14:textId="519C4F16" w:rsidR="0060223F" w:rsidRPr="00791489" w:rsidRDefault="0060223F" w:rsidP="001948E7">
            <w:pPr>
              <w:spacing w:before="120" w:after="120"/>
              <w:jc w:val="center"/>
              <w:rPr>
                <w:rFonts w:ascii="Verdana" w:hAnsi="Verdana"/>
                <w:sz w:val="18"/>
              </w:rPr>
            </w:pPr>
          </w:p>
        </w:tc>
        <w:tc>
          <w:tcPr>
            <w:tcW w:w="1134" w:type="dxa"/>
            <w:shd w:val="clear" w:color="auto" w:fill="auto"/>
            <w:vAlign w:val="center"/>
          </w:tcPr>
          <w:p w14:paraId="613A80C8" w14:textId="73D1C5C0" w:rsidR="0060223F" w:rsidRPr="00791489" w:rsidRDefault="0060223F" w:rsidP="00440F8F">
            <w:pPr>
              <w:spacing w:before="120" w:after="120"/>
              <w:jc w:val="center"/>
              <w:rPr>
                <w:rFonts w:ascii="Verdana" w:hAnsi="Verdana"/>
                <w:sz w:val="18"/>
              </w:rPr>
            </w:pPr>
          </w:p>
        </w:tc>
      </w:tr>
      <w:tr w:rsidR="0060223F" w:rsidRPr="00791489" w14:paraId="2A20FA03" w14:textId="0E9EB172" w:rsidTr="00B051D3">
        <w:tc>
          <w:tcPr>
            <w:tcW w:w="421" w:type="dxa"/>
            <w:tcMar>
              <w:top w:w="28" w:type="dxa"/>
              <w:left w:w="28" w:type="dxa"/>
              <w:bottom w:w="28" w:type="dxa"/>
              <w:right w:w="57" w:type="dxa"/>
            </w:tcMar>
            <w:vAlign w:val="center"/>
          </w:tcPr>
          <w:p w14:paraId="68966E73" w14:textId="08BFE5EA" w:rsidR="0060223F" w:rsidRPr="00791489" w:rsidRDefault="00C21967" w:rsidP="005F6E83">
            <w:pPr>
              <w:spacing w:before="120" w:after="120"/>
              <w:jc w:val="right"/>
              <w:rPr>
                <w:rFonts w:ascii="Verdana" w:hAnsi="Verdana"/>
                <w:sz w:val="18"/>
              </w:rPr>
            </w:pPr>
            <w:r>
              <w:rPr>
                <w:rFonts w:ascii="Verdana" w:hAnsi="Verdana"/>
                <w:b/>
                <w:noProof/>
                <w:sz w:val="18"/>
              </w:rPr>
              <w:drawing>
                <wp:inline distT="0" distB="0" distL="0" distR="0" wp14:anchorId="44E3F1BD" wp14:editId="77BDAE2F">
                  <wp:extent cx="213360" cy="213360"/>
                  <wp:effectExtent l="0" t="0" r="0" b="0"/>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4199E587" w14:textId="22065924" w:rsidR="0060223F" w:rsidRPr="00791489" w:rsidRDefault="0060223F" w:rsidP="005F6E83">
            <w:pPr>
              <w:spacing w:before="120" w:after="120"/>
              <w:jc w:val="right"/>
              <w:rPr>
                <w:rFonts w:ascii="Verdana" w:hAnsi="Verdana"/>
                <w:sz w:val="18"/>
              </w:rPr>
            </w:pPr>
            <w:r w:rsidRPr="00791489">
              <w:rPr>
                <w:rFonts w:ascii="Verdana" w:hAnsi="Verdana"/>
                <w:sz w:val="18"/>
              </w:rPr>
              <w:t>(b)</w:t>
            </w:r>
          </w:p>
        </w:tc>
        <w:tc>
          <w:tcPr>
            <w:tcW w:w="5528" w:type="dxa"/>
          </w:tcPr>
          <w:p w14:paraId="48074056" w14:textId="046C8099" w:rsidR="0060223F" w:rsidRPr="00791489" w:rsidRDefault="0060223F" w:rsidP="00C330EF">
            <w:pPr>
              <w:spacing w:before="120" w:after="120"/>
              <w:rPr>
                <w:rFonts w:ascii="Verdana" w:hAnsi="Verdana"/>
                <w:sz w:val="18"/>
              </w:rPr>
            </w:pPr>
            <w:r w:rsidRPr="00791489">
              <w:rPr>
                <w:rFonts w:ascii="Verdana" w:hAnsi="Verdana"/>
                <w:sz w:val="18"/>
              </w:rPr>
              <w:t>include a list of the outsourced service providers (whether based in Australia or based overseas, and whether or not any is an accredited person); and</w:t>
            </w:r>
          </w:p>
        </w:tc>
        <w:tc>
          <w:tcPr>
            <w:tcW w:w="5103" w:type="dxa"/>
          </w:tcPr>
          <w:p w14:paraId="593C0A58" w14:textId="6B3179CC" w:rsidR="00C21967" w:rsidRPr="00791489" w:rsidRDefault="00C21967" w:rsidP="00C330EF">
            <w:pPr>
              <w:spacing w:before="120" w:after="120"/>
              <w:rPr>
                <w:rFonts w:ascii="Verdana" w:hAnsi="Verdana"/>
                <w:sz w:val="18"/>
              </w:rPr>
            </w:pPr>
            <w:r>
              <w:rPr>
                <w:rFonts w:ascii="Verdana" w:hAnsi="Verdana"/>
                <w:sz w:val="18"/>
              </w:rPr>
              <w:t>This ensures DRs are being transparent about who is involved in delivering the service using CDR data so consumers can make an informed choice. It also provides an opportunity to support business partners.</w:t>
            </w:r>
          </w:p>
        </w:tc>
        <w:tc>
          <w:tcPr>
            <w:tcW w:w="1134" w:type="dxa"/>
            <w:shd w:val="clear" w:color="auto" w:fill="auto"/>
            <w:vAlign w:val="center"/>
          </w:tcPr>
          <w:p w14:paraId="6F65A968" w14:textId="3EF747AD" w:rsidR="0060223F" w:rsidRPr="00791489" w:rsidRDefault="0060223F" w:rsidP="007D3D29">
            <w:pPr>
              <w:spacing w:before="120" w:after="120"/>
              <w:jc w:val="center"/>
              <w:rPr>
                <w:rFonts w:ascii="Verdana" w:hAnsi="Verdana"/>
                <w:sz w:val="18"/>
              </w:rPr>
            </w:pPr>
          </w:p>
        </w:tc>
        <w:tc>
          <w:tcPr>
            <w:tcW w:w="1134" w:type="dxa"/>
            <w:shd w:val="clear" w:color="auto" w:fill="auto"/>
            <w:vAlign w:val="center"/>
          </w:tcPr>
          <w:p w14:paraId="790A2BB1" w14:textId="7492CE0A" w:rsidR="0060223F" w:rsidRPr="00791489" w:rsidRDefault="0060223F" w:rsidP="009C3C37">
            <w:pPr>
              <w:spacing w:before="120" w:after="120"/>
              <w:jc w:val="center"/>
              <w:rPr>
                <w:rFonts w:ascii="Verdana" w:hAnsi="Verdana"/>
                <w:sz w:val="18"/>
              </w:rPr>
            </w:pPr>
          </w:p>
        </w:tc>
      </w:tr>
      <w:tr w:rsidR="0060223F" w:rsidRPr="00791489" w14:paraId="7D3112A3" w14:textId="0F27D3EF" w:rsidTr="00B051D3">
        <w:tc>
          <w:tcPr>
            <w:tcW w:w="421" w:type="dxa"/>
            <w:tcMar>
              <w:top w:w="28" w:type="dxa"/>
              <w:left w:w="28" w:type="dxa"/>
              <w:bottom w:w="28" w:type="dxa"/>
              <w:right w:w="57" w:type="dxa"/>
            </w:tcMar>
            <w:vAlign w:val="center"/>
          </w:tcPr>
          <w:p w14:paraId="31115E0E" w14:textId="590A82B9" w:rsidR="0060223F" w:rsidRPr="00791489" w:rsidRDefault="00B051D3" w:rsidP="005F6E83">
            <w:pPr>
              <w:spacing w:before="120" w:after="120"/>
              <w:jc w:val="right"/>
              <w:rPr>
                <w:rFonts w:ascii="Verdana" w:hAnsi="Verdana"/>
                <w:sz w:val="18"/>
              </w:rPr>
            </w:pPr>
            <w:r>
              <w:rPr>
                <w:rFonts w:ascii="Verdana" w:hAnsi="Verdana"/>
                <w:b/>
                <w:noProof/>
                <w:sz w:val="18"/>
              </w:rPr>
              <w:drawing>
                <wp:inline distT="0" distB="0" distL="0" distR="0" wp14:anchorId="0345E7E0" wp14:editId="2BDD28BC">
                  <wp:extent cx="213360" cy="213360"/>
                  <wp:effectExtent l="0" t="0" r="0" b="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73191CD8" w14:textId="6E1830B4" w:rsidR="0060223F" w:rsidRPr="00791489" w:rsidRDefault="0060223F" w:rsidP="005F6E83">
            <w:pPr>
              <w:spacing w:before="120" w:after="120"/>
              <w:jc w:val="right"/>
              <w:rPr>
                <w:rFonts w:ascii="Verdana" w:hAnsi="Verdana"/>
                <w:sz w:val="18"/>
              </w:rPr>
            </w:pPr>
            <w:r w:rsidRPr="00791489">
              <w:rPr>
                <w:rFonts w:ascii="Verdana" w:hAnsi="Verdana"/>
                <w:sz w:val="18"/>
              </w:rPr>
              <w:t>(c)</w:t>
            </w:r>
          </w:p>
        </w:tc>
        <w:tc>
          <w:tcPr>
            <w:tcW w:w="5528" w:type="dxa"/>
          </w:tcPr>
          <w:p w14:paraId="56803797" w14:textId="77777777" w:rsidR="0060223F" w:rsidRPr="00791489" w:rsidRDefault="0060223F" w:rsidP="00C330EF">
            <w:pPr>
              <w:spacing w:before="120" w:after="120"/>
              <w:rPr>
                <w:rFonts w:ascii="Verdana" w:hAnsi="Verdana"/>
                <w:sz w:val="18"/>
              </w:rPr>
            </w:pPr>
            <w:r w:rsidRPr="00791489">
              <w:rPr>
                <w:rFonts w:ascii="Verdana" w:hAnsi="Verdana"/>
                <w:sz w:val="18"/>
              </w:rPr>
              <w:t>for each such service provider-include:</w:t>
            </w:r>
          </w:p>
          <w:p w14:paraId="4E69023E" w14:textId="77777777" w:rsidR="0060223F" w:rsidRPr="00791489" w:rsidRDefault="0060223F" w:rsidP="007D3B3F">
            <w:pPr>
              <w:pStyle w:val="ListParagraph"/>
              <w:numPr>
                <w:ilvl w:val="0"/>
                <w:numId w:val="33"/>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 xml:space="preserve">the nature of the services it provides; and </w:t>
            </w:r>
          </w:p>
          <w:p w14:paraId="25746DAD" w14:textId="0108EC97" w:rsidR="0060223F" w:rsidRPr="00791489" w:rsidRDefault="0060223F" w:rsidP="007D3B3F">
            <w:pPr>
              <w:pStyle w:val="ListParagraph"/>
              <w:numPr>
                <w:ilvl w:val="0"/>
                <w:numId w:val="33"/>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the CDR data or classes of CDR data that may be disclosed to it; and</w:t>
            </w:r>
          </w:p>
        </w:tc>
        <w:tc>
          <w:tcPr>
            <w:tcW w:w="5103" w:type="dxa"/>
          </w:tcPr>
          <w:p w14:paraId="1254F424" w14:textId="47B5A903" w:rsidR="00B051D3" w:rsidRPr="00791489" w:rsidRDefault="00B051D3" w:rsidP="00B051D3">
            <w:pPr>
              <w:spacing w:before="120" w:after="120"/>
              <w:rPr>
                <w:rFonts w:ascii="Verdana" w:hAnsi="Verdana"/>
                <w:sz w:val="18"/>
              </w:rPr>
            </w:pPr>
            <w:r>
              <w:rPr>
                <w:rFonts w:ascii="Verdana" w:hAnsi="Verdana"/>
                <w:sz w:val="18"/>
              </w:rPr>
              <w:t>Consider putting high level content in the policy and then linking to a separate page with more OSP details so the policy remains succinct.</w:t>
            </w:r>
          </w:p>
          <w:p w14:paraId="7EA04C34" w14:textId="7077BE47" w:rsidR="0060223F" w:rsidRPr="00791489" w:rsidRDefault="00B051D3" w:rsidP="00C330EF">
            <w:pPr>
              <w:spacing w:before="120" w:after="120"/>
              <w:rPr>
                <w:rFonts w:ascii="Verdana" w:hAnsi="Verdana"/>
                <w:sz w:val="18"/>
              </w:rPr>
            </w:pPr>
            <w:hyperlink r:id="rId24" w:history="1">
              <w:r>
                <w:rPr>
                  <w:rStyle w:val="Hyperlink"/>
                </w:rPr>
                <w:t>https://www.regionalaustraliabank.com.au/personal/support/outsourced-service-providers</w:t>
              </w:r>
            </w:hyperlink>
          </w:p>
        </w:tc>
        <w:tc>
          <w:tcPr>
            <w:tcW w:w="1134" w:type="dxa"/>
            <w:shd w:val="clear" w:color="auto" w:fill="auto"/>
            <w:vAlign w:val="center"/>
          </w:tcPr>
          <w:p w14:paraId="6698563B" w14:textId="2F19824E" w:rsidR="0060223F" w:rsidRPr="00791489" w:rsidRDefault="0060223F" w:rsidP="00DF54BE">
            <w:pPr>
              <w:spacing w:before="120" w:after="120"/>
              <w:jc w:val="center"/>
              <w:rPr>
                <w:rFonts w:ascii="Verdana" w:hAnsi="Verdana"/>
                <w:sz w:val="18"/>
              </w:rPr>
            </w:pPr>
          </w:p>
        </w:tc>
        <w:tc>
          <w:tcPr>
            <w:tcW w:w="1134" w:type="dxa"/>
            <w:shd w:val="clear" w:color="auto" w:fill="auto"/>
            <w:vAlign w:val="center"/>
          </w:tcPr>
          <w:p w14:paraId="05FA241C" w14:textId="2F857D02" w:rsidR="0060223F" w:rsidRPr="00791489" w:rsidRDefault="0060223F" w:rsidP="003C3CD9">
            <w:pPr>
              <w:spacing w:before="120" w:after="120"/>
              <w:jc w:val="center"/>
              <w:rPr>
                <w:rFonts w:ascii="Verdana" w:hAnsi="Verdana"/>
                <w:sz w:val="18"/>
              </w:rPr>
            </w:pPr>
          </w:p>
        </w:tc>
      </w:tr>
      <w:tr w:rsidR="0060223F" w:rsidRPr="00791489" w14:paraId="73C399E8" w14:textId="75BD28A3" w:rsidTr="00B051D3">
        <w:tc>
          <w:tcPr>
            <w:tcW w:w="421" w:type="dxa"/>
            <w:tcMar>
              <w:top w:w="28" w:type="dxa"/>
              <w:left w:w="28" w:type="dxa"/>
              <w:bottom w:w="28" w:type="dxa"/>
              <w:right w:w="57" w:type="dxa"/>
            </w:tcMar>
            <w:vAlign w:val="center"/>
          </w:tcPr>
          <w:p w14:paraId="2184D9EE" w14:textId="45F25DE7" w:rsidR="0060223F" w:rsidRPr="00791489" w:rsidRDefault="000D451A" w:rsidP="00FC42CD">
            <w:pPr>
              <w:spacing w:before="120" w:after="120"/>
              <w:jc w:val="right"/>
              <w:rPr>
                <w:rFonts w:ascii="Verdana" w:hAnsi="Verdana"/>
                <w:sz w:val="18"/>
              </w:rPr>
            </w:pPr>
            <w:r>
              <w:rPr>
                <w:rFonts w:ascii="Verdana" w:hAnsi="Verdana"/>
                <w:b/>
                <w:noProof/>
                <w:sz w:val="18"/>
              </w:rPr>
              <w:drawing>
                <wp:inline distT="0" distB="0" distL="0" distR="0" wp14:anchorId="7E094EC4" wp14:editId="461FABF7">
                  <wp:extent cx="213360" cy="213360"/>
                  <wp:effectExtent l="0" t="0" r="0" b="0"/>
                  <wp:docPr id="10" name="Picture 1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1E1E9CCC" w14:textId="025211E3" w:rsidR="0060223F" w:rsidRPr="00791489" w:rsidRDefault="0060223F" w:rsidP="00FC42CD">
            <w:pPr>
              <w:spacing w:before="120" w:after="120"/>
              <w:jc w:val="right"/>
              <w:rPr>
                <w:rFonts w:ascii="Verdana" w:hAnsi="Verdana"/>
                <w:sz w:val="18"/>
              </w:rPr>
            </w:pPr>
            <w:r w:rsidRPr="00791489">
              <w:rPr>
                <w:rFonts w:ascii="Verdana" w:hAnsi="Verdana"/>
                <w:sz w:val="18"/>
              </w:rPr>
              <w:t>(d)</w:t>
            </w:r>
          </w:p>
        </w:tc>
        <w:tc>
          <w:tcPr>
            <w:tcW w:w="5528" w:type="dxa"/>
          </w:tcPr>
          <w:p w14:paraId="44EEF760" w14:textId="77777777" w:rsidR="0060223F" w:rsidRPr="00791489" w:rsidRDefault="0060223F" w:rsidP="00553483">
            <w:pPr>
              <w:spacing w:before="120" w:after="120"/>
              <w:rPr>
                <w:rFonts w:ascii="Verdana" w:hAnsi="Verdana"/>
                <w:sz w:val="18"/>
              </w:rPr>
            </w:pPr>
            <w:r w:rsidRPr="00791489">
              <w:rPr>
                <w:rFonts w:ascii="Verdana" w:hAnsi="Verdana"/>
                <w:sz w:val="18"/>
              </w:rPr>
              <w:t>if the accredited data recipient is likely to disclose CDR data of a kind referred to in subsection 56ED(5) of the Act to such a service provider that:</w:t>
            </w:r>
          </w:p>
          <w:p w14:paraId="1E94F2D9" w14:textId="2E7B7A25" w:rsidR="0060223F" w:rsidRPr="000B1E89" w:rsidRDefault="0060223F" w:rsidP="007D3B3F">
            <w:pPr>
              <w:pStyle w:val="ListParagraph"/>
              <w:numPr>
                <w:ilvl w:val="0"/>
                <w:numId w:val="26"/>
              </w:numPr>
              <w:spacing w:before="120" w:after="120"/>
              <w:rPr>
                <w:rFonts w:ascii="Verdana" w:eastAsiaTheme="minorHAnsi" w:hAnsi="Verdana" w:cstheme="minorBidi"/>
                <w:sz w:val="18"/>
                <w:lang w:val="en-AU"/>
              </w:rPr>
            </w:pPr>
            <w:r w:rsidRPr="000B1E89">
              <w:rPr>
                <w:rFonts w:ascii="Verdana" w:eastAsiaTheme="minorHAnsi" w:hAnsi="Verdana" w:cstheme="minorBidi"/>
                <w:sz w:val="18"/>
                <w:lang w:val="en-AU"/>
              </w:rPr>
              <w:t>is based overseas; and</w:t>
            </w:r>
          </w:p>
          <w:p w14:paraId="5335218F" w14:textId="25C907D2" w:rsidR="0060223F" w:rsidRPr="000B1E89" w:rsidRDefault="0060223F" w:rsidP="007D3B3F">
            <w:pPr>
              <w:pStyle w:val="ListParagraph"/>
              <w:numPr>
                <w:ilvl w:val="0"/>
                <w:numId w:val="26"/>
              </w:numPr>
              <w:spacing w:before="120" w:after="120"/>
              <w:rPr>
                <w:rFonts w:ascii="Verdana" w:eastAsiaTheme="minorHAnsi" w:hAnsi="Verdana" w:cstheme="minorBidi"/>
                <w:sz w:val="18"/>
                <w:lang w:val="en-AU"/>
              </w:rPr>
            </w:pPr>
            <w:r w:rsidRPr="000B1E89">
              <w:rPr>
                <w:rFonts w:ascii="Verdana" w:eastAsiaTheme="minorHAnsi" w:hAnsi="Verdana" w:cstheme="minorBidi"/>
                <w:sz w:val="18"/>
                <w:lang w:val="en-AU"/>
              </w:rPr>
              <w:t>is not an accredited person;</w:t>
            </w:r>
          </w:p>
          <w:p w14:paraId="17721182" w14:textId="0EE195F0" w:rsidR="0060223F" w:rsidRPr="00791489" w:rsidRDefault="0060223F" w:rsidP="00553483">
            <w:pPr>
              <w:spacing w:before="120" w:after="120"/>
              <w:rPr>
                <w:rFonts w:ascii="Verdana" w:hAnsi="Verdana"/>
                <w:sz w:val="18"/>
              </w:rPr>
            </w:pPr>
            <w:r w:rsidRPr="00791489">
              <w:rPr>
                <w:rFonts w:ascii="Verdana" w:hAnsi="Verdana"/>
                <w:sz w:val="18"/>
              </w:rPr>
              <w:t>include the countries in which such persons are likely to be based if it is practicable to specify those countries in the policy; and</w:t>
            </w:r>
          </w:p>
        </w:tc>
        <w:tc>
          <w:tcPr>
            <w:tcW w:w="5103" w:type="dxa"/>
          </w:tcPr>
          <w:p w14:paraId="0E166213" w14:textId="7679ADD6" w:rsidR="0060223F" w:rsidRPr="00791489" w:rsidRDefault="00B051D3" w:rsidP="00FC42CD">
            <w:pPr>
              <w:spacing w:before="120" w:after="120"/>
              <w:rPr>
                <w:rFonts w:ascii="Verdana" w:hAnsi="Verdana"/>
                <w:sz w:val="18"/>
              </w:rPr>
            </w:pPr>
            <w:r>
              <w:rPr>
                <w:rFonts w:ascii="Verdana" w:hAnsi="Verdana"/>
                <w:sz w:val="18"/>
              </w:rPr>
              <w:t>If this doesn’t apply, then it can be dealt with a single blanket statement – for example ‘we do</w:t>
            </w:r>
            <w:r w:rsidR="0060223F">
              <w:rPr>
                <w:rFonts w:ascii="Verdana" w:hAnsi="Verdana"/>
                <w:sz w:val="18"/>
              </w:rPr>
              <w:t xml:space="preserve"> not</w:t>
            </w:r>
            <w:r>
              <w:rPr>
                <w:rFonts w:ascii="Verdana" w:hAnsi="Verdana"/>
                <w:sz w:val="18"/>
              </w:rPr>
              <w:t xml:space="preserve"> use overseas service </w:t>
            </w:r>
            <w:r w:rsidR="00E75B16">
              <w:rPr>
                <w:rFonts w:ascii="Verdana" w:hAnsi="Verdana"/>
                <w:sz w:val="18"/>
              </w:rPr>
              <w:t>providers’.</w:t>
            </w:r>
          </w:p>
        </w:tc>
        <w:tc>
          <w:tcPr>
            <w:tcW w:w="1134" w:type="dxa"/>
            <w:shd w:val="clear" w:color="auto" w:fill="auto"/>
            <w:vAlign w:val="center"/>
          </w:tcPr>
          <w:p w14:paraId="0BBD2F13" w14:textId="3B09DC61" w:rsidR="0060223F" w:rsidRPr="00791489" w:rsidRDefault="0060223F" w:rsidP="009C5832">
            <w:pPr>
              <w:jc w:val="center"/>
              <w:rPr>
                <w:rFonts w:ascii="Verdana" w:hAnsi="Verdana"/>
                <w:sz w:val="18"/>
              </w:rPr>
            </w:pPr>
          </w:p>
        </w:tc>
        <w:tc>
          <w:tcPr>
            <w:tcW w:w="1134" w:type="dxa"/>
            <w:shd w:val="clear" w:color="auto" w:fill="auto"/>
            <w:vAlign w:val="center"/>
          </w:tcPr>
          <w:p w14:paraId="74CCE022" w14:textId="08C2FA52" w:rsidR="0060223F" w:rsidRPr="00791489" w:rsidRDefault="0060223F" w:rsidP="008618AA">
            <w:pPr>
              <w:jc w:val="center"/>
              <w:rPr>
                <w:rFonts w:ascii="Verdana" w:hAnsi="Verdana"/>
                <w:sz w:val="18"/>
              </w:rPr>
            </w:pPr>
          </w:p>
        </w:tc>
      </w:tr>
      <w:tr w:rsidR="0060223F" w:rsidRPr="00791489" w14:paraId="67921D41" w14:textId="4EBAEEF1" w:rsidTr="00B051D3">
        <w:tc>
          <w:tcPr>
            <w:tcW w:w="421" w:type="dxa"/>
            <w:tcMar>
              <w:top w:w="28" w:type="dxa"/>
              <w:left w:w="28" w:type="dxa"/>
              <w:bottom w:w="28" w:type="dxa"/>
              <w:right w:w="57" w:type="dxa"/>
            </w:tcMar>
            <w:vAlign w:val="center"/>
          </w:tcPr>
          <w:p w14:paraId="7692842B" w14:textId="2DF3F6FA" w:rsidR="0060223F" w:rsidRPr="00791489" w:rsidRDefault="000D451A" w:rsidP="00A3585F">
            <w:pPr>
              <w:spacing w:before="120" w:after="120"/>
              <w:jc w:val="right"/>
              <w:rPr>
                <w:rFonts w:ascii="Verdana" w:hAnsi="Verdana"/>
                <w:sz w:val="18"/>
              </w:rPr>
            </w:pPr>
            <w:r>
              <w:rPr>
                <w:rFonts w:ascii="Verdana" w:hAnsi="Verdana"/>
                <w:b/>
                <w:noProof/>
                <w:sz w:val="18"/>
              </w:rPr>
              <w:lastRenderedPageBreak/>
              <w:drawing>
                <wp:inline distT="0" distB="0" distL="0" distR="0" wp14:anchorId="03569051" wp14:editId="2AEB2F72">
                  <wp:extent cx="213360" cy="213360"/>
                  <wp:effectExtent l="0" t="0" r="0" b="0"/>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0592F9D8" w14:textId="00A9363D" w:rsidR="0060223F" w:rsidRPr="00791489" w:rsidRDefault="0060223F" w:rsidP="00A3585F">
            <w:pPr>
              <w:spacing w:before="120" w:after="120"/>
              <w:jc w:val="right"/>
              <w:rPr>
                <w:rFonts w:ascii="Verdana" w:hAnsi="Verdana"/>
                <w:sz w:val="18"/>
              </w:rPr>
            </w:pPr>
            <w:r w:rsidRPr="00791489">
              <w:rPr>
                <w:rFonts w:ascii="Verdana" w:hAnsi="Verdana"/>
                <w:sz w:val="18"/>
              </w:rPr>
              <w:t>(e)</w:t>
            </w:r>
          </w:p>
        </w:tc>
        <w:tc>
          <w:tcPr>
            <w:tcW w:w="5528" w:type="dxa"/>
          </w:tcPr>
          <w:p w14:paraId="56008E32" w14:textId="77777777" w:rsidR="0060223F" w:rsidRPr="00791489" w:rsidRDefault="0060223F" w:rsidP="00A3585F">
            <w:pPr>
              <w:spacing w:before="120" w:after="120"/>
              <w:rPr>
                <w:rFonts w:ascii="Verdana" w:hAnsi="Verdana"/>
                <w:sz w:val="18"/>
              </w:rPr>
            </w:pPr>
            <w:r w:rsidRPr="00791489">
              <w:rPr>
                <w:rFonts w:ascii="Verdana" w:hAnsi="Verdana"/>
                <w:sz w:val="18"/>
              </w:rPr>
              <w:t>if applicable-include the following information about de-identification of CDR data that is not redundant data:</w:t>
            </w:r>
          </w:p>
          <w:p w14:paraId="6E5C09F3" w14:textId="63D822B4" w:rsidR="0060223F" w:rsidRPr="00791489" w:rsidRDefault="0060223F" w:rsidP="007D3B3F">
            <w:pPr>
              <w:pStyle w:val="ListParagraph"/>
              <w:numPr>
                <w:ilvl w:val="0"/>
                <w:numId w:val="27"/>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how the accredited person uses CDR data that has been de-identified in accordance with the CDR data de-identification process to provide goods or services to CDR consumers;</w:t>
            </w:r>
          </w:p>
          <w:p w14:paraId="728774CF" w14:textId="616363F8" w:rsidR="0060223F" w:rsidRPr="00791489" w:rsidRDefault="0060223F" w:rsidP="007D3B3F">
            <w:pPr>
              <w:pStyle w:val="ListParagraph"/>
              <w:numPr>
                <w:ilvl w:val="0"/>
                <w:numId w:val="27"/>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 xml:space="preserve">the further information specified in </w:t>
            </w:r>
            <w:proofErr w:type="spellStart"/>
            <w:r w:rsidRPr="00791489">
              <w:rPr>
                <w:rFonts w:ascii="Verdana" w:eastAsiaTheme="minorHAnsi" w:hAnsi="Verdana" w:cstheme="minorBidi"/>
                <w:sz w:val="18"/>
                <w:lang w:val="en-AU"/>
              </w:rPr>
              <w:t>subrule</w:t>
            </w:r>
            <w:proofErr w:type="spellEnd"/>
            <w:r w:rsidRPr="00791489">
              <w:rPr>
                <w:rFonts w:ascii="Verdana" w:eastAsiaTheme="minorHAnsi" w:hAnsi="Verdana" w:cstheme="minorBidi"/>
                <w:sz w:val="18"/>
                <w:lang w:val="en-AU"/>
              </w:rPr>
              <w:t xml:space="preserve"> (5); and</w:t>
            </w:r>
          </w:p>
        </w:tc>
        <w:tc>
          <w:tcPr>
            <w:tcW w:w="5103" w:type="dxa"/>
          </w:tcPr>
          <w:p w14:paraId="639D16F9" w14:textId="724E56AE" w:rsidR="00E75B16" w:rsidRDefault="0060223F" w:rsidP="007B14A3">
            <w:pPr>
              <w:spacing w:before="120" w:after="120"/>
              <w:rPr>
                <w:rFonts w:ascii="Verdana" w:hAnsi="Verdana"/>
                <w:sz w:val="18"/>
              </w:rPr>
            </w:pPr>
            <w:r w:rsidRPr="00791489">
              <w:rPr>
                <w:rFonts w:ascii="Verdana" w:hAnsi="Verdana"/>
                <w:sz w:val="18"/>
              </w:rPr>
              <w:t xml:space="preserve">Check </w:t>
            </w:r>
            <w:proofErr w:type="spellStart"/>
            <w:r w:rsidRPr="00791489">
              <w:rPr>
                <w:rFonts w:ascii="Verdana" w:hAnsi="Verdana"/>
                <w:sz w:val="18"/>
              </w:rPr>
              <w:t>subrule</w:t>
            </w:r>
            <w:proofErr w:type="spellEnd"/>
            <w:r w:rsidRPr="00791489">
              <w:rPr>
                <w:rFonts w:ascii="Verdana" w:hAnsi="Verdana"/>
                <w:sz w:val="18"/>
              </w:rPr>
              <w:t xml:space="preserve"> (5)</w:t>
            </w:r>
          </w:p>
          <w:p w14:paraId="42605349" w14:textId="0467FDF3" w:rsidR="00472659" w:rsidRDefault="00472659" w:rsidP="007B14A3">
            <w:pPr>
              <w:spacing w:before="120" w:after="120"/>
              <w:rPr>
                <w:rFonts w:ascii="Verdana" w:hAnsi="Verdana"/>
                <w:sz w:val="18"/>
              </w:rPr>
            </w:pPr>
            <w:r>
              <w:rPr>
                <w:rFonts w:ascii="Verdana" w:hAnsi="Verdana"/>
                <w:sz w:val="18"/>
              </w:rPr>
              <w:t>Redundant data is defined in the Rules as being defined in the Act 56EO.  That definition is a little ambiguous but basically states that once the original purpose has been achieved and there is no other reason to retain it, it becomes redundant.</w:t>
            </w:r>
          </w:p>
          <w:p w14:paraId="519922E2" w14:textId="0CBDFD48" w:rsidR="0060223F" w:rsidRPr="00791489" w:rsidRDefault="00E75B16" w:rsidP="007B14A3">
            <w:pPr>
              <w:spacing w:before="120" w:after="120"/>
              <w:rPr>
                <w:rFonts w:ascii="Verdana" w:hAnsi="Verdana"/>
                <w:sz w:val="18"/>
              </w:rPr>
            </w:pPr>
            <w:r>
              <w:rPr>
                <w:rFonts w:ascii="Verdana" w:hAnsi="Verdana"/>
                <w:sz w:val="18"/>
              </w:rPr>
              <w:t xml:space="preserve">Remember that even if raw </w:t>
            </w:r>
            <w:r w:rsidR="0060223F">
              <w:rPr>
                <w:rFonts w:ascii="Verdana" w:hAnsi="Verdana"/>
                <w:sz w:val="18"/>
              </w:rPr>
              <w:t>CDR data</w:t>
            </w:r>
            <w:r>
              <w:rPr>
                <w:rFonts w:ascii="Verdana" w:hAnsi="Verdana"/>
                <w:sz w:val="18"/>
              </w:rPr>
              <w:t xml:space="preserve"> has been transformed into something else, the fact that it was derived from CDR data means that it is still CDR data, </w:t>
            </w:r>
            <w:r w:rsidR="0060223F">
              <w:rPr>
                <w:rFonts w:ascii="Verdana" w:hAnsi="Verdana"/>
                <w:sz w:val="18"/>
              </w:rPr>
              <w:t xml:space="preserve"> </w:t>
            </w:r>
            <w:r>
              <w:rPr>
                <w:rFonts w:ascii="Verdana" w:hAnsi="Verdana"/>
                <w:sz w:val="18"/>
              </w:rPr>
              <w:t xml:space="preserve">and it might not be </w:t>
            </w:r>
            <w:r w:rsidR="0060223F">
              <w:rPr>
                <w:rFonts w:ascii="Verdana" w:hAnsi="Verdana"/>
                <w:sz w:val="18"/>
              </w:rPr>
              <w:t>redundant data</w:t>
            </w:r>
            <w:r>
              <w:rPr>
                <w:rFonts w:ascii="Verdana" w:hAnsi="Verdana"/>
                <w:sz w:val="18"/>
              </w:rPr>
              <w:t>. In some use cases it might be necessary to retain this information, perhaps for statutory or other reasons.</w:t>
            </w:r>
          </w:p>
        </w:tc>
        <w:tc>
          <w:tcPr>
            <w:tcW w:w="1134" w:type="dxa"/>
            <w:shd w:val="clear" w:color="auto" w:fill="auto"/>
            <w:vAlign w:val="center"/>
          </w:tcPr>
          <w:p w14:paraId="7ADC1157" w14:textId="486BE021" w:rsidR="0060223F" w:rsidRPr="00791489" w:rsidRDefault="0060223F" w:rsidP="00352E08">
            <w:pPr>
              <w:jc w:val="center"/>
              <w:rPr>
                <w:rFonts w:ascii="Verdana" w:hAnsi="Verdana"/>
                <w:sz w:val="18"/>
              </w:rPr>
            </w:pPr>
          </w:p>
        </w:tc>
        <w:tc>
          <w:tcPr>
            <w:tcW w:w="1134" w:type="dxa"/>
            <w:shd w:val="clear" w:color="auto" w:fill="auto"/>
            <w:vAlign w:val="center"/>
          </w:tcPr>
          <w:p w14:paraId="746D6538" w14:textId="04583EBF" w:rsidR="0060223F" w:rsidRPr="00791489" w:rsidRDefault="0060223F" w:rsidP="003B11FD">
            <w:pPr>
              <w:jc w:val="center"/>
              <w:rPr>
                <w:rFonts w:ascii="Verdana" w:hAnsi="Verdana"/>
                <w:sz w:val="18"/>
              </w:rPr>
            </w:pPr>
          </w:p>
        </w:tc>
      </w:tr>
      <w:tr w:rsidR="0060223F" w:rsidRPr="00791489" w14:paraId="0E909C48" w14:textId="0BB73853" w:rsidTr="00E75B16">
        <w:tc>
          <w:tcPr>
            <w:tcW w:w="421" w:type="dxa"/>
            <w:tcMar>
              <w:top w:w="28" w:type="dxa"/>
              <w:left w:w="28" w:type="dxa"/>
              <w:bottom w:w="28" w:type="dxa"/>
              <w:right w:w="57" w:type="dxa"/>
            </w:tcMar>
            <w:vAlign w:val="center"/>
          </w:tcPr>
          <w:p w14:paraId="14A58B2F" w14:textId="5828783A" w:rsidR="0060223F" w:rsidRPr="00791489" w:rsidRDefault="00E75B16" w:rsidP="00A3585F">
            <w:pPr>
              <w:spacing w:before="120" w:after="120"/>
              <w:jc w:val="right"/>
              <w:rPr>
                <w:rFonts w:ascii="Verdana" w:hAnsi="Verdana"/>
                <w:sz w:val="18"/>
              </w:rPr>
            </w:pPr>
            <w:r>
              <w:rPr>
                <w:rFonts w:ascii="Verdana" w:hAnsi="Verdana"/>
                <w:b/>
                <w:noProof/>
                <w:sz w:val="18"/>
              </w:rPr>
              <w:drawing>
                <wp:inline distT="0" distB="0" distL="0" distR="0" wp14:anchorId="23991E1E" wp14:editId="44251E98">
                  <wp:extent cx="213360" cy="213360"/>
                  <wp:effectExtent l="0" t="0" r="0" b="0"/>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69421A36" w14:textId="6DE566CC" w:rsidR="0060223F" w:rsidRPr="00791489" w:rsidRDefault="0060223F" w:rsidP="00A3585F">
            <w:pPr>
              <w:spacing w:before="120" w:after="120"/>
              <w:jc w:val="right"/>
              <w:rPr>
                <w:rFonts w:ascii="Verdana" w:hAnsi="Verdana"/>
                <w:sz w:val="18"/>
              </w:rPr>
            </w:pPr>
            <w:r w:rsidRPr="00791489">
              <w:rPr>
                <w:rFonts w:ascii="Verdana" w:hAnsi="Verdana"/>
                <w:sz w:val="18"/>
              </w:rPr>
              <w:t>(f)</w:t>
            </w:r>
          </w:p>
        </w:tc>
        <w:tc>
          <w:tcPr>
            <w:tcW w:w="5528" w:type="dxa"/>
          </w:tcPr>
          <w:p w14:paraId="6092073D" w14:textId="77777777" w:rsidR="0060223F" w:rsidRPr="00791489" w:rsidRDefault="0060223F" w:rsidP="003F62B1">
            <w:pPr>
              <w:spacing w:before="120" w:after="120"/>
              <w:rPr>
                <w:rFonts w:ascii="Verdana" w:hAnsi="Verdana"/>
                <w:sz w:val="18"/>
              </w:rPr>
            </w:pPr>
            <w:r w:rsidRPr="00791489">
              <w:rPr>
                <w:rFonts w:ascii="Verdana" w:hAnsi="Verdana"/>
                <w:sz w:val="18"/>
              </w:rPr>
              <w:t>include the following information about deletion of redundant CDR data:</w:t>
            </w:r>
          </w:p>
          <w:p w14:paraId="5D2C87E0" w14:textId="462A7A0E" w:rsidR="0060223F" w:rsidRPr="00791489" w:rsidRDefault="0060223F" w:rsidP="007D3B3F">
            <w:pPr>
              <w:pStyle w:val="ListParagraph"/>
              <w:numPr>
                <w:ilvl w:val="0"/>
                <w:numId w:val="28"/>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when it deletes redundant data;</w:t>
            </w:r>
          </w:p>
          <w:p w14:paraId="1065789D" w14:textId="74B07BA7" w:rsidR="0060223F" w:rsidRPr="00791489" w:rsidRDefault="0060223F" w:rsidP="007D3B3F">
            <w:pPr>
              <w:pStyle w:val="ListParagraph"/>
              <w:numPr>
                <w:ilvl w:val="0"/>
                <w:numId w:val="28"/>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how a CDR consumer may elect for this to happen;</w:t>
            </w:r>
          </w:p>
          <w:p w14:paraId="27F483C1" w14:textId="06A707DB" w:rsidR="0060223F" w:rsidRPr="00791489" w:rsidRDefault="0060223F" w:rsidP="007D3B3F">
            <w:pPr>
              <w:pStyle w:val="ListParagraph"/>
              <w:numPr>
                <w:ilvl w:val="0"/>
                <w:numId w:val="28"/>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how it deletes redundant data; and</w:t>
            </w:r>
          </w:p>
        </w:tc>
        <w:tc>
          <w:tcPr>
            <w:tcW w:w="5103" w:type="dxa"/>
          </w:tcPr>
          <w:p w14:paraId="51A838D5" w14:textId="77777777" w:rsidR="00472659" w:rsidRDefault="00472659" w:rsidP="00472659">
            <w:pPr>
              <w:spacing w:before="120" w:after="120"/>
              <w:rPr>
                <w:rFonts w:ascii="Verdana" w:hAnsi="Verdana"/>
                <w:sz w:val="18"/>
              </w:rPr>
            </w:pPr>
            <w:r>
              <w:rPr>
                <w:rFonts w:ascii="Verdana" w:hAnsi="Verdana"/>
                <w:sz w:val="18"/>
              </w:rPr>
              <w:t xml:space="preserve">This will potentially vary by use case so perhaps challenging to provide in a single policy that applies to all such cases. </w:t>
            </w:r>
          </w:p>
          <w:p w14:paraId="610E4FB8" w14:textId="18C4D190" w:rsidR="00472659" w:rsidRDefault="00472659" w:rsidP="00472659">
            <w:pPr>
              <w:spacing w:before="120" w:after="120"/>
              <w:rPr>
                <w:rFonts w:ascii="Verdana" w:hAnsi="Verdana"/>
                <w:sz w:val="18"/>
              </w:rPr>
            </w:pPr>
            <w:r>
              <w:rPr>
                <w:rFonts w:ascii="Verdana" w:hAnsi="Verdana"/>
                <w:sz w:val="18"/>
              </w:rPr>
              <w:t xml:space="preserve">With one-time consent for lending, we propose to delete all redundant data, consumers </w:t>
            </w:r>
            <w:r w:rsidRPr="004A4C11">
              <w:rPr>
                <w:rFonts w:ascii="Verdana" w:hAnsi="Verdana"/>
                <w:i/>
                <w:iCs/>
                <w:sz w:val="18"/>
              </w:rPr>
              <w:t>could</w:t>
            </w:r>
            <w:r>
              <w:rPr>
                <w:rFonts w:ascii="Verdana" w:hAnsi="Verdana"/>
                <w:sz w:val="18"/>
              </w:rPr>
              <w:t xml:space="preserve"> elect for this to happen earlier although this would likely then impact our ability to deliver the service.</w:t>
            </w:r>
          </w:p>
          <w:p w14:paraId="0EEE483F" w14:textId="66565341" w:rsidR="00472659" w:rsidRDefault="00472659" w:rsidP="00472659">
            <w:pPr>
              <w:spacing w:before="120" w:after="120"/>
              <w:rPr>
                <w:rFonts w:ascii="Verdana" w:hAnsi="Verdana"/>
                <w:sz w:val="18"/>
              </w:rPr>
            </w:pPr>
            <w:r>
              <w:rPr>
                <w:rFonts w:ascii="Verdana" w:hAnsi="Verdana"/>
                <w:sz w:val="18"/>
              </w:rPr>
              <w:t>As our use case doesn’t involve holding redundant data, the only data that could be deleted would that which is still serving the purpose for which consent was originally provided.</w:t>
            </w:r>
          </w:p>
          <w:p w14:paraId="4D9E3F79" w14:textId="77777777" w:rsidR="00472659" w:rsidRDefault="00472659" w:rsidP="00472659">
            <w:pPr>
              <w:spacing w:before="120" w:after="120"/>
              <w:rPr>
                <w:rFonts w:ascii="Verdana" w:hAnsi="Verdana"/>
                <w:sz w:val="18"/>
              </w:rPr>
            </w:pPr>
            <w:r>
              <w:rPr>
                <w:rFonts w:ascii="Verdana" w:hAnsi="Verdana"/>
                <w:sz w:val="18"/>
              </w:rPr>
              <w:t>Information on how redundant data is deleted is aimed to provide greater consumer transparency. This needs to be balanced with the need to maintain appropriate data security.</w:t>
            </w:r>
          </w:p>
          <w:p w14:paraId="3129DB74" w14:textId="1A691D85" w:rsidR="0060223F" w:rsidRDefault="0060223F" w:rsidP="00472659">
            <w:pPr>
              <w:spacing w:before="120" w:after="120"/>
              <w:rPr>
                <w:rFonts w:ascii="Verdana" w:hAnsi="Verdana"/>
                <w:sz w:val="18"/>
              </w:rPr>
            </w:pPr>
            <w:r>
              <w:rPr>
                <w:rFonts w:ascii="Verdana" w:hAnsi="Verdana"/>
                <w:sz w:val="18"/>
              </w:rPr>
              <w:t>Se</w:t>
            </w:r>
            <w:r w:rsidR="00E75B16">
              <w:rPr>
                <w:rFonts w:ascii="Verdana" w:hAnsi="Verdana"/>
                <w:sz w:val="18"/>
              </w:rPr>
              <w:t>c</w:t>
            </w:r>
            <w:r>
              <w:rPr>
                <w:rFonts w:ascii="Verdana" w:hAnsi="Verdana"/>
                <w:sz w:val="18"/>
              </w:rPr>
              <w:t xml:space="preserve">tion </w:t>
            </w:r>
            <w:r w:rsidRPr="00E94EF5">
              <w:rPr>
                <w:rFonts w:ascii="Verdana" w:hAnsi="Verdana"/>
                <w:b/>
                <w:sz w:val="18"/>
              </w:rPr>
              <w:t>56EO</w:t>
            </w:r>
            <w:r>
              <w:rPr>
                <w:rFonts w:ascii="Verdana" w:hAnsi="Verdana"/>
                <w:sz w:val="18"/>
              </w:rPr>
              <w:t xml:space="preserve"> of the Act, states: </w:t>
            </w:r>
          </w:p>
          <w:p w14:paraId="6F4F0A1F" w14:textId="77777777"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If:</w:t>
            </w:r>
          </w:p>
          <w:p w14:paraId="44C6EE5B" w14:textId="25D4A0B8"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 xml:space="preserve">(a) the CDR entity no longer needs any of that CDR data for either of the following purposes (the </w:t>
            </w:r>
            <w:r w:rsidRPr="00E75B16">
              <w:rPr>
                <w:rFonts w:ascii="Verdana" w:hAnsi="Verdana" w:cs="TimesNewRoman,BoldItalic"/>
                <w:b/>
                <w:bCs/>
                <w:i/>
                <w:iCs/>
                <w:sz w:val="18"/>
                <w:szCs w:val="18"/>
              </w:rPr>
              <w:t>redundant data</w:t>
            </w:r>
            <w:r w:rsidRPr="00E75B16">
              <w:rPr>
                <w:rFonts w:ascii="Verdana" w:hAnsi="Verdana" w:cs="TimesNewRoman"/>
                <w:i/>
                <w:iCs/>
                <w:sz w:val="18"/>
                <w:szCs w:val="18"/>
              </w:rPr>
              <w:t>):</w:t>
            </w:r>
          </w:p>
          <w:p w14:paraId="1EB2F91E" w14:textId="77777777"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w:t>
            </w:r>
            <w:proofErr w:type="spellStart"/>
            <w:r w:rsidRPr="00E75B16">
              <w:rPr>
                <w:rFonts w:ascii="Verdana" w:hAnsi="Verdana" w:cs="TimesNewRoman"/>
                <w:i/>
                <w:iCs/>
                <w:sz w:val="18"/>
                <w:szCs w:val="18"/>
              </w:rPr>
              <w:t>i</w:t>
            </w:r>
            <w:proofErr w:type="spellEnd"/>
            <w:r w:rsidRPr="00E75B16">
              <w:rPr>
                <w:rFonts w:ascii="Verdana" w:hAnsi="Verdana" w:cs="TimesNewRoman"/>
                <w:i/>
                <w:iCs/>
                <w:sz w:val="18"/>
                <w:szCs w:val="18"/>
              </w:rPr>
              <w:t>) a purpose permitted under the consumer data rules;</w:t>
            </w:r>
          </w:p>
          <w:p w14:paraId="06176663" w14:textId="7AD21906"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lastRenderedPageBreak/>
              <w:t>(ii) a purpose for which the person is able to use or disclose it in accordance with this Division; and</w:t>
            </w:r>
          </w:p>
          <w:p w14:paraId="360CFA19" w14:textId="50C6F2A5"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(b) the CDR entity is not required to retain the redundant data by or under an Australian law or a court/tribunal order; and</w:t>
            </w:r>
          </w:p>
          <w:p w14:paraId="71DFED86" w14:textId="70180388"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(c) the redundant data does not relate to any current or anticipated:</w:t>
            </w:r>
          </w:p>
          <w:p w14:paraId="36A824E4" w14:textId="77777777"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w:t>
            </w:r>
            <w:proofErr w:type="spellStart"/>
            <w:r w:rsidRPr="00E75B16">
              <w:rPr>
                <w:rFonts w:ascii="Verdana" w:hAnsi="Verdana" w:cs="TimesNewRoman"/>
                <w:i/>
                <w:iCs/>
                <w:sz w:val="18"/>
                <w:szCs w:val="18"/>
              </w:rPr>
              <w:t>i</w:t>
            </w:r>
            <w:proofErr w:type="spellEnd"/>
            <w:r w:rsidRPr="00E75B16">
              <w:rPr>
                <w:rFonts w:ascii="Verdana" w:hAnsi="Verdana" w:cs="TimesNewRoman"/>
                <w:i/>
                <w:iCs/>
                <w:sz w:val="18"/>
                <w:szCs w:val="18"/>
              </w:rPr>
              <w:t>) legal proceedings; or</w:t>
            </w:r>
          </w:p>
          <w:p w14:paraId="6B9C185D" w14:textId="77777777"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(ii) dispute resolution proceedings;</w:t>
            </w:r>
          </w:p>
          <w:p w14:paraId="5E5FAA4F" w14:textId="77777777" w:rsidR="0060223F" w:rsidRPr="00E75B16" w:rsidRDefault="0060223F" w:rsidP="00A810E0">
            <w:pPr>
              <w:autoSpaceDE w:val="0"/>
              <w:autoSpaceDN w:val="0"/>
              <w:adjustRightInd w:val="0"/>
              <w:rPr>
                <w:rFonts w:ascii="Verdana" w:hAnsi="Verdana" w:cs="TimesNewRoman"/>
                <w:i/>
                <w:iCs/>
                <w:sz w:val="18"/>
                <w:szCs w:val="18"/>
              </w:rPr>
            </w:pPr>
            <w:r w:rsidRPr="00E75B16">
              <w:rPr>
                <w:rFonts w:ascii="Verdana" w:hAnsi="Verdana" w:cs="TimesNewRoman"/>
                <w:i/>
                <w:iCs/>
                <w:sz w:val="18"/>
                <w:szCs w:val="18"/>
              </w:rPr>
              <w:t>to which the CDR entity is a party;</w:t>
            </w:r>
          </w:p>
          <w:p w14:paraId="07883516" w14:textId="6CF07CED" w:rsidR="0060223F" w:rsidRPr="00E75B16" w:rsidRDefault="0060223F" w:rsidP="00A85F11">
            <w:pPr>
              <w:autoSpaceDE w:val="0"/>
              <w:autoSpaceDN w:val="0"/>
              <w:adjustRightInd w:val="0"/>
              <w:rPr>
                <w:rFonts w:ascii="Verdana" w:hAnsi="Verdana"/>
                <w:i/>
                <w:iCs/>
                <w:sz w:val="18"/>
                <w:szCs w:val="18"/>
              </w:rPr>
            </w:pPr>
            <w:r w:rsidRPr="00E75B16">
              <w:rPr>
                <w:rFonts w:ascii="Verdana" w:hAnsi="Verdana" w:cs="TimesNewRoman"/>
                <w:i/>
                <w:iCs/>
                <w:sz w:val="18"/>
                <w:szCs w:val="18"/>
              </w:rPr>
              <w:t>the CDR entity must take the steps specified in the consumer data rules to destroy the redundant data or to ensure that the redundant data is de-identified.</w:t>
            </w:r>
          </w:p>
          <w:p w14:paraId="4247B6B4" w14:textId="30E4CF1B" w:rsidR="0060223F" w:rsidRDefault="00803B8A" w:rsidP="003F62B1">
            <w:pPr>
              <w:spacing w:before="120" w:after="120"/>
              <w:rPr>
                <w:rFonts w:ascii="Verdana" w:hAnsi="Verdana"/>
                <w:sz w:val="18"/>
              </w:rPr>
            </w:pPr>
            <w:r>
              <w:rPr>
                <w:rFonts w:ascii="Verdana" w:hAnsi="Verdana"/>
                <w:sz w:val="18"/>
              </w:rPr>
              <w:t>So, we need to c</w:t>
            </w:r>
            <w:r w:rsidR="00E75B16">
              <w:rPr>
                <w:rFonts w:ascii="Verdana" w:hAnsi="Verdana"/>
                <w:sz w:val="18"/>
              </w:rPr>
              <w:t>onsider how the situation might change if someone is no longer a customer?  Does that change perspective and obligation here?</w:t>
            </w:r>
            <w:r w:rsidR="0060223F">
              <w:rPr>
                <w:rFonts w:ascii="Verdana" w:hAnsi="Verdana"/>
                <w:sz w:val="18"/>
              </w:rPr>
              <w:t xml:space="preserve"> </w:t>
            </w:r>
          </w:p>
          <w:p w14:paraId="6A6F396F" w14:textId="4AF5DBB9" w:rsidR="00472659" w:rsidRPr="004B1ED3" w:rsidRDefault="00E75B16" w:rsidP="004B1ED3">
            <w:pPr>
              <w:spacing w:before="120" w:after="120"/>
              <w:rPr>
                <w:rFonts w:ascii="Verdana" w:hAnsi="Verdana"/>
                <w:color w:val="231F20"/>
                <w:sz w:val="18"/>
              </w:rPr>
            </w:pPr>
            <w:r>
              <w:rPr>
                <w:rFonts w:ascii="Verdana" w:hAnsi="Verdana"/>
                <w:sz w:val="18"/>
              </w:rPr>
              <w:t>Consider whether there is any statutory obligation to retain redundant data – perhaps to justify decisions if challenged at a later date.</w:t>
            </w:r>
            <w:r>
              <w:rPr>
                <w:rFonts w:ascii="Verdana" w:hAnsi="Verdana"/>
                <w:color w:val="231F20"/>
                <w:sz w:val="18"/>
              </w:rPr>
              <w:t xml:space="preserve"> </w:t>
            </w:r>
          </w:p>
        </w:tc>
        <w:tc>
          <w:tcPr>
            <w:tcW w:w="1134" w:type="dxa"/>
            <w:shd w:val="clear" w:color="auto" w:fill="auto"/>
            <w:vAlign w:val="center"/>
          </w:tcPr>
          <w:p w14:paraId="47FB4B9D" w14:textId="2CCA283A" w:rsidR="0060223F" w:rsidRPr="00791489" w:rsidRDefault="0060223F" w:rsidP="0052648B">
            <w:pPr>
              <w:jc w:val="center"/>
              <w:rPr>
                <w:rFonts w:ascii="Verdana" w:hAnsi="Verdana"/>
                <w:sz w:val="18"/>
              </w:rPr>
            </w:pPr>
          </w:p>
        </w:tc>
        <w:tc>
          <w:tcPr>
            <w:tcW w:w="1134" w:type="dxa"/>
            <w:shd w:val="clear" w:color="auto" w:fill="auto"/>
            <w:vAlign w:val="center"/>
          </w:tcPr>
          <w:p w14:paraId="0EF89003" w14:textId="72F49A23" w:rsidR="0060223F" w:rsidRPr="00791489" w:rsidRDefault="0060223F" w:rsidP="00431D6C">
            <w:pPr>
              <w:jc w:val="center"/>
              <w:rPr>
                <w:rFonts w:ascii="Verdana" w:hAnsi="Verdana"/>
                <w:sz w:val="18"/>
              </w:rPr>
            </w:pPr>
          </w:p>
        </w:tc>
      </w:tr>
      <w:tr w:rsidR="0060223F" w:rsidRPr="00791489" w14:paraId="27642F60" w14:textId="3465A4F9" w:rsidTr="00E75B16">
        <w:tc>
          <w:tcPr>
            <w:tcW w:w="421" w:type="dxa"/>
            <w:tcMar>
              <w:top w:w="28" w:type="dxa"/>
              <w:left w:w="28" w:type="dxa"/>
              <w:bottom w:w="28" w:type="dxa"/>
              <w:right w:w="57" w:type="dxa"/>
            </w:tcMar>
            <w:vAlign w:val="center"/>
          </w:tcPr>
          <w:p w14:paraId="055CB665" w14:textId="23D588BF" w:rsidR="0060223F" w:rsidRPr="00791489" w:rsidRDefault="00E75B16" w:rsidP="00CF1B56">
            <w:pPr>
              <w:spacing w:before="120" w:after="120"/>
              <w:jc w:val="right"/>
              <w:rPr>
                <w:rFonts w:ascii="Verdana" w:hAnsi="Verdana"/>
                <w:sz w:val="18"/>
              </w:rPr>
            </w:pPr>
            <w:r>
              <w:rPr>
                <w:rFonts w:ascii="Verdana" w:hAnsi="Verdana"/>
                <w:b/>
                <w:noProof/>
                <w:sz w:val="18"/>
              </w:rPr>
              <w:drawing>
                <wp:inline distT="0" distB="0" distL="0" distR="0" wp14:anchorId="51EBBFA8" wp14:editId="5C2479AE">
                  <wp:extent cx="213360" cy="213360"/>
                  <wp:effectExtent l="0" t="0" r="0" b="0"/>
                  <wp:docPr id="13" name="Picture 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79104AA5" w14:textId="2DD95348" w:rsidR="0060223F" w:rsidRPr="00791489" w:rsidRDefault="0060223F" w:rsidP="00CF1B56">
            <w:pPr>
              <w:spacing w:before="120" w:after="120"/>
              <w:jc w:val="right"/>
              <w:rPr>
                <w:rFonts w:ascii="Verdana" w:hAnsi="Verdana"/>
                <w:sz w:val="18"/>
              </w:rPr>
            </w:pPr>
            <w:r w:rsidRPr="00791489">
              <w:rPr>
                <w:rFonts w:ascii="Verdana" w:hAnsi="Verdana"/>
                <w:sz w:val="18"/>
              </w:rPr>
              <w:t>(g)</w:t>
            </w:r>
          </w:p>
        </w:tc>
        <w:tc>
          <w:tcPr>
            <w:tcW w:w="5528" w:type="dxa"/>
          </w:tcPr>
          <w:p w14:paraId="09005EDE" w14:textId="77777777" w:rsidR="0060223F" w:rsidRPr="00791489" w:rsidRDefault="0060223F" w:rsidP="00094E9C">
            <w:pPr>
              <w:spacing w:before="120" w:after="120"/>
              <w:rPr>
                <w:rFonts w:ascii="Verdana" w:hAnsi="Verdana"/>
                <w:sz w:val="18"/>
              </w:rPr>
            </w:pPr>
            <w:r w:rsidRPr="00791489">
              <w:rPr>
                <w:rFonts w:ascii="Verdana" w:hAnsi="Verdana"/>
                <w:sz w:val="18"/>
              </w:rPr>
              <w:t>if applicable-include the following information about de-identification of redundant CDR data:</w:t>
            </w:r>
          </w:p>
          <w:p w14:paraId="443F1A93" w14:textId="43A8FEC1" w:rsidR="0060223F" w:rsidRPr="00791489" w:rsidRDefault="0060223F" w:rsidP="007D3B3F">
            <w:pPr>
              <w:pStyle w:val="ListParagraph"/>
              <w:numPr>
                <w:ilvl w:val="0"/>
                <w:numId w:val="29"/>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if the de-identified data is used by the accredited data recipient- examples of how the accredited data recipient ordinarily uses de-identified data; and</w:t>
            </w:r>
          </w:p>
          <w:p w14:paraId="010C93E8" w14:textId="3E6CAC76" w:rsidR="0060223F" w:rsidRPr="00791489" w:rsidRDefault="0060223F" w:rsidP="007D3B3F">
            <w:pPr>
              <w:pStyle w:val="ListParagraph"/>
              <w:numPr>
                <w:ilvl w:val="0"/>
                <w:numId w:val="29"/>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 xml:space="preserve">the further information specified in </w:t>
            </w:r>
            <w:proofErr w:type="spellStart"/>
            <w:r w:rsidRPr="00791489">
              <w:rPr>
                <w:rFonts w:ascii="Verdana" w:eastAsiaTheme="minorHAnsi" w:hAnsi="Verdana" w:cstheme="minorBidi"/>
                <w:sz w:val="18"/>
                <w:lang w:val="en-AU"/>
              </w:rPr>
              <w:t>subrule</w:t>
            </w:r>
            <w:proofErr w:type="spellEnd"/>
            <w:r w:rsidRPr="00791489">
              <w:rPr>
                <w:rFonts w:ascii="Verdana" w:eastAsiaTheme="minorHAnsi" w:hAnsi="Verdana" w:cstheme="minorBidi"/>
                <w:sz w:val="18"/>
                <w:lang w:val="en-AU"/>
              </w:rPr>
              <w:t xml:space="preserve"> (5); and</w:t>
            </w:r>
          </w:p>
        </w:tc>
        <w:tc>
          <w:tcPr>
            <w:tcW w:w="5103" w:type="dxa"/>
          </w:tcPr>
          <w:p w14:paraId="5A92D76A" w14:textId="23395329" w:rsidR="0060223F" w:rsidRPr="00791489" w:rsidRDefault="00E75B16" w:rsidP="00BE1AE8">
            <w:pPr>
              <w:spacing w:before="120" w:after="120"/>
              <w:rPr>
                <w:rFonts w:ascii="Verdana" w:hAnsi="Verdana"/>
                <w:sz w:val="18"/>
              </w:rPr>
            </w:pPr>
            <w:r>
              <w:rPr>
                <w:rFonts w:ascii="Verdana" w:hAnsi="Verdana"/>
                <w:sz w:val="18"/>
              </w:rPr>
              <w:t xml:space="preserve">It </w:t>
            </w:r>
            <w:r w:rsidR="00AA113A">
              <w:rPr>
                <w:rFonts w:ascii="Verdana" w:hAnsi="Verdana"/>
                <w:sz w:val="18"/>
              </w:rPr>
              <w:t>may</w:t>
            </w:r>
            <w:r>
              <w:rPr>
                <w:rFonts w:ascii="Verdana" w:hAnsi="Verdana"/>
                <w:sz w:val="18"/>
              </w:rPr>
              <w:t xml:space="preserve"> be simpler to delete all data once it becomes redundant and </w:t>
            </w:r>
            <w:r w:rsidR="00803B8A">
              <w:rPr>
                <w:rFonts w:ascii="Verdana" w:hAnsi="Verdana"/>
                <w:sz w:val="18"/>
              </w:rPr>
              <w:t>just</w:t>
            </w:r>
            <w:r>
              <w:rPr>
                <w:rFonts w:ascii="Verdana" w:hAnsi="Verdana"/>
                <w:sz w:val="18"/>
              </w:rPr>
              <w:t xml:space="preserve"> state this</w:t>
            </w:r>
            <w:r w:rsidR="0060223F">
              <w:rPr>
                <w:rFonts w:ascii="Verdana" w:hAnsi="Verdana"/>
                <w:sz w:val="18"/>
              </w:rPr>
              <w:t>.</w:t>
            </w:r>
          </w:p>
        </w:tc>
        <w:tc>
          <w:tcPr>
            <w:tcW w:w="1134" w:type="dxa"/>
            <w:shd w:val="clear" w:color="auto" w:fill="auto"/>
            <w:vAlign w:val="center"/>
          </w:tcPr>
          <w:p w14:paraId="4E5ED6D3" w14:textId="652258F0" w:rsidR="0060223F" w:rsidRPr="00791489" w:rsidRDefault="0060223F" w:rsidP="004B7103">
            <w:pPr>
              <w:jc w:val="center"/>
              <w:rPr>
                <w:rFonts w:ascii="Verdana" w:hAnsi="Verdana"/>
                <w:sz w:val="18"/>
              </w:rPr>
            </w:pPr>
          </w:p>
        </w:tc>
        <w:tc>
          <w:tcPr>
            <w:tcW w:w="1134" w:type="dxa"/>
            <w:shd w:val="clear" w:color="auto" w:fill="auto"/>
            <w:vAlign w:val="center"/>
          </w:tcPr>
          <w:p w14:paraId="3A76B861" w14:textId="6276081E" w:rsidR="0060223F" w:rsidRPr="00791489" w:rsidRDefault="0060223F" w:rsidP="004B7103">
            <w:pPr>
              <w:jc w:val="center"/>
              <w:rPr>
                <w:rFonts w:ascii="Verdana" w:hAnsi="Verdana"/>
                <w:sz w:val="18"/>
              </w:rPr>
            </w:pPr>
          </w:p>
        </w:tc>
      </w:tr>
      <w:tr w:rsidR="0060223F" w:rsidRPr="00791489" w14:paraId="2EC7F950" w14:textId="23419338" w:rsidTr="00AA113A">
        <w:tc>
          <w:tcPr>
            <w:tcW w:w="421" w:type="dxa"/>
            <w:tcMar>
              <w:top w:w="28" w:type="dxa"/>
              <w:left w:w="28" w:type="dxa"/>
              <w:bottom w:w="28" w:type="dxa"/>
              <w:right w:w="57" w:type="dxa"/>
            </w:tcMar>
            <w:vAlign w:val="center"/>
          </w:tcPr>
          <w:p w14:paraId="072B7229" w14:textId="284FFB52" w:rsidR="0060223F" w:rsidRPr="00791489" w:rsidRDefault="00AA113A" w:rsidP="00CF1B56">
            <w:pPr>
              <w:spacing w:before="120" w:after="120"/>
              <w:jc w:val="right"/>
              <w:rPr>
                <w:rFonts w:ascii="Verdana" w:hAnsi="Verdana"/>
                <w:sz w:val="18"/>
              </w:rPr>
            </w:pPr>
            <w:r>
              <w:rPr>
                <w:rFonts w:ascii="Verdana" w:hAnsi="Verdana"/>
                <w:b/>
                <w:noProof/>
                <w:sz w:val="18"/>
              </w:rPr>
              <w:drawing>
                <wp:inline distT="0" distB="0" distL="0" distR="0" wp14:anchorId="1F692E5D" wp14:editId="21247AC2">
                  <wp:extent cx="213360" cy="213360"/>
                  <wp:effectExtent l="0" t="0" r="0" b="0"/>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16DAFB7D" w14:textId="50CDEDDF" w:rsidR="0060223F" w:rsidRPr="00791489" w:rsidRDefault="0060223F" w:rsidP="00CF1B56">
            <w:pPr>
              <w:spacing w:before="120" w:after="120"/>
              <w:jc w:val="right"/>
              <w:rPr>
                <w:rFonts w:ascii="Verdana" w:hAnsi="Verdana"/>
                <w:sz w:val="18"/>
              </w:rPr>
            </w:pPr>
            <w:r w:rsidRPr="00791489">
              <w:rPr>
                <w:rFonts w:ascii="Verdana" w:hAnsi="Verdana"/>
                <w:sz w:val="18"/>
              </w:rPr>
              <w:t>(h)</w:t>
            </w:r>
          </w:p>
        </w:tc>
        <w:tc>
          <w:tcPr>
            <w:tcW w:w="5528" w:type="dxa"/>
          </w:tcPr>
          <w:p w14:paraId="74E930A7" w14:textId="77777777" w:rsidR="0060223F" w:rsidRPr="00791489" w:rsidRDefault="0060223F" w:rsidP="00094E9C">
            <w:pPr>
              <w:spacing w:before="120" w:after="120"/>
              <w:rPr>
                <w:rFonts w:ascii="Verdana" w:hAnsi="Verdana"/>
                <w:sz w:val="18"/>
              </w:rPr>
            </w:pPr>
            <w:r w:rsidRPr="00791489">
              <w:rPr>
                <w:rFonts w:ascii="Verdana" w:hAnsi="Verdana"/>
                <w:sz w:val="18"/>
              </w:rPr>
              <w:t>include the following information about the CDR consumer's election to delete their CDR data:</w:t>
            </w:r>
          </w:p>
          <w:p w14:paraId="30FC6A52" w14:textId="5F35AE1F" w:rsidR="0060223F" w:rsidRPr="00791489" w:rsidRDefault="0060223F" w:rsidP="007D3B3F">
            <w:pPr>
              <w:pStyle w:val="ListParagraph"/>
              <w:numPr>
                <w:ilvl w:val="0"/>
                <w:numId w:val="30"/>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information about how the election operates and its effect;</w:t>
            </w:r>
          </w:p>
          <w:p w14:paraId="69EEB5A3" w14:textId="5B3BE410" w:rsidR="0060223F" w:rsidRPr="00791489" w:rsidRDefault="0060223F" w:rsidP="007D3B3F">
            <w:pPr>
              <w:pStyle w:val="ListParagraph"/>
              <w:numPr>
                <w:ilvl w:val="0"/>
                <w:numId w:val="30"/>
              </w:numPr>
              <w:spacing w:before="120" w:after="120"/>
              <w:rPr>
                <w:rFonts w:ascii="Verdana" w:hAnsi="Verdana"/>
                <w:sz w:val="18"/>
              </w:rPr>
            </w:pPr>
            <w:r w:rsidRPr="00791489">
              <w:rPr>
                <w:rFonts w:ascii="Verdana" w:eastAsiaTheme="minorHAnsi" w:hAnsi="Verdana" w:cstheme="minorBidi"/>
                <w:sz w:val="18"/>
                <w:lang w:val="en-AU"/>
              </w:rPr>
              <w:t>information about how CDR consumers can exercise the election.</w:t>
            </w:r>
          </w:p>
        </w:tc>
        <w:tc>
          <w:tcPr>
            <w:tcW w:w="5103" w:type="dxa"/>
          </w:tcPr>
          <w:p w14:paraId="4FF3F7FF" w14:textId="77777777" w:rsidR="0060223F" w:rsidRDefault="00AA113A" w:rsidP="00203CE8">
            <w:pPr>
              <w:spacing w:before="120" w:after="120"/>
              <w:rPr>
                <w:rFonts w:ascii="Verdana" w:hAnsi="Verdana"/>
                <w:iCs/>
                <w:sz w:val="18"/>
              </w:rPr>
            </w:pPr>
            <w:r>
              <w:rPr>
                <w:rFonts w:ascii="Verdana" w:hAnsi="Verdana"/>
                <w:iCs/>
                <w:sz w:val="18"/>
              </w:rPr>
              <w:t>For example, state that when a consumer withdraws consent, all data will be permanently deleted</w:t>
            </w:r>
            <w:r w:rsidR="00803B8A">
              <w:rPr>
                <w:rFonts w:ascii="Verdana" w:hAnsi="Verdana"/>
                <w:iCs/>
                <w:sz w:val="18"/>
              </w:rPr>
              <w:t>,</w:t>
            </w:r>
            <w:r>
              <w:rPr>
                <w:rFonts w:ascii="Verdana" w:hAnsi="Verdana"/>
                <w:iCs/>
                <w:sz w:val="18"/>
              </w:rPr>
              <w:t xml:space="preserve"> and that consent can be managed through </w:t>
            </w:r>
            <w:r w:rsidR="00803B8A">
              <w:rPr>
                <w:rFonts w:ascii="Verdana" w:hAnsi="Verdana"/>
                <w:iCs/>
                <w:sz w:val="18"/>
              </w:rPr>
              <w:t>our</w:t>
            </w:r>
            <w:r>
              <w:rPr>
                <w:rFonts w:ascii="Verdana" w:hAnsi="Verdana"/>
                <w:iCs/>
                <w:sz w:val="18"/>
              </w:rPr>
              <w:t xml:space="preserve"> consumer dashboard at https://...</w:t>
            </w:r>
            <w:r w:rsidR="003B29A0">
              <w:rPr>
                <w:rFonts w:ascii="Verdana" w:hAnsi="Verdana"/>
                <w:iCs/>
                <w:sz w:val="18"/>
              </w:rPr>
              <w:t xml:space="preserve"> or by </w:t>
            </w:r>
          </w:p>
          <w:p w14:paraId="05BB1625" w14:textId="15764023" w:rsidR="00D92606" w:rsidRPr="00682C63" w:rsidRDefault="00D92606" w:rsidP="00203CE8">
            <w:pPr>
              <w:spacing w:before="120" w:after="120"/>
              <w:rPr>
                <w:rFonts w:ascii="Verdana" w:hAnsi="Verdana"/>
                <w:iCs/>
                <w:sz w:val="18"/>
              </w:rPr>
            </w:pPr>
            <w:r>
              <w:rPr>
                <w:rFonts w:ascii="Verdana" w:hAnsi="Verdana"/>
                <w:sz w:val="18"/>
              </w:rPr>
              <w:t>Election to delete could be done using the consumer dashboard, or by contacting us using our online form at https://... or by calling our contact centre on 132…</w:t>
            </w:r>
          </w:p>
        </w:tc>
        <w:tc>
          <w:tcPr>
            <w:tcW w:w="1134" w:type="dxa"/>
            <w:shd w:val="clear" w:color="auto" w:fill="auto"/>
            <w:vAlign w:val="center"/>
          </w:tcPr>
          <w:p w14:paraId="754D3A71" w14:textId="08CC23E7" w:rsidR="0060223F" w:rsidRPr="00791489" w:rsidRDefault="0060223F" w:rsidP="00E358D6">
            <w:pPr>
              <w:jc w:val="center"/>
              <w:rPr>
                <w:rFonts w:ascii="Verdana" w:hAnsi="Verdana"/>
                <w:sz w:val="18"/>
              </w:rPr>
            </w:pPr>
          </w:p>
        </w:tc>
        <w:tc>
          <w:tcPr>
            <w:tcW w:w="1134" w:type="dxa"/>
            <w:shd w:val="clear" w:color="auto" w:fill="auto"/>
            <w:vAlign w:val="center"/>
          </w:tcPr>
          <w:p w14:paraId="25B98856" w14:textId="28C42BAC" w:rsidR="0060223F" w:rsidRPr="00791489" w:rsidRDefault="0060223F" w:rsidP="00E358D6">
            <w:pPr>
              <w:jc w:val="center"/>
              <w:rPr>
                <w:rFonts w:ascii="Verdana" w:hAnsi="Verdana"/>
                <w:sz w:val="18"/>
              </w:rPr>
            </w:pPr>
          </w:p>
        </w:tc>
      </w:tr>
      <w:tr w:rsidR="0060223F" w:rsidRPr="00791489" w14:paraId="6EFD95EA" w14:textId="7FD28F73" w:rsidTr="00AA113A">
        <w:tc>
          <w:tcPr>
            <w:tcW w:w="421" w:type="dxa"/>
            <w:tcMar>
              <w:top w:w="28" w:type="dxa"/>
              <w:left w:w="28" w:type="dxa"/>
              <w:bottom w:w="28" w:type="dxa"/>
              <w:right w:w="57" w:type="dxa"/>
            </w:tcMar>
            <w:vAlign w:val="center"/>
          </w:tcPr>
          <w:p w14:paraId="7F5B4767" w14:textId="0DAFCEB2" w:rsidR="0060223F" w:rsidRPr="00791489" w:rsidRDefault="00AA113A" w:rsidP="0022686E">
            <w:pPr>
              <w:spacing w:before="120" w:after="120"/>
              <w:rPr>
                <w:rFonts w:ascii="Verdana" w:hAnsi="Verdana"/>
                <w:sz w:val="18"/>
              </w:rPr>
            </w:pPr>
            <w:r>
              <w:rPr>
                <w:rFonts w:ascii="Verdana" w:hAnsi="Verdana"/>
                <w:b/>
                <w:noProof/>
                <w:sz w:val="18"/>
              </w:rPr>
              <w:lastRenderedPageBreak/>
              <w:drawing>
                <wp:inline distT="0" distB="0" distL="0" distR="0" wp14:anchorId="2C992C40" wp14:editId="0B4365D3">
                  <wp:extent cx="213360" cy="213360"/>
                  <wp:effectExtent l="0" t="0" r="0" b="0"/>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74E7FD77" w14:textId="28C742D2" w:rsidR="0060223F" w:rsidRPr="00791489" w:rsidRDefault="0060223F" w:rsidP="0022686E">
            <w:pPr>
              <w:spacing w:before="120" w:after="120"/>
              <w:rPr>
                <w:rFonts w:ascii="Verdana" w:hAnsi="Verdana"/>
                <w:sz w:val="18"/>
              </w:rPr>
            </w:pPr>
            <w:r w:rsidRPr="00791489">
              <w:rPr>
                <w:rFonts w:ascii="Verdana" w:hAnsi="Verdana"/>
                <w:sz w:val="18"/>
              </w:rPr>
              <w:t>Note 1</w:t>
            </w:r>
          </w:p>
        </w:tc>
        <w:tc>
          <w:tcPr>
            <w:tcW w:w="5528" w:type="dxa"/>
          </w:tcPr>
          <w:p w14:paraId="02F3AA35" w14:textId="77E3E348" w:rsidR="0060223F" w:rsidRPr="00791489" w:rsidRDefault="0060223F" w:rsidP="00411F83">
            <w:pPr>
              <w:spacing w:before="120" w:after="120"/>
              <w:rPr>
                <w:rFonts w:ascii="Verdana" w:hAnsi="Verdana"/>
                <w:sz w:val="18"/>
              </w:rPr>
            </w:pPr>
            <w:r w:rsidRPr="00791489">
              <w:rPr>
                <w:rFonts w:ascii="Verdana" w:hAnsi="Verdana"/>
                <w:sz w:val="18"/>
              </w:rPr>
              <w:t>The specified service providers are the accredited data recipient's "outsourced service providers".</w:t>
            </w:r>
            <w:r w:rsidRPr="00791489">
              <w:rPr>
                <w:rFonts w:ascii="Verdana" w:hAnsi="Verdana"/>
                <w:sz w:val="18"/>
              </w:rPr>
              <w:tab/>
            </w:r>
            <w:r w:rsidRPr="00791489">
              <w:rPr>
                <w:rFonts w:ascii="Verdana" w:hAnsi="Verdana"/>
                <w:sz w:val="18"/>
              </w:rPr>
              <w:tab/>
            </w:r>
          </w:p>
        </w:tc>
        <w:tc>
          <w:tcPr>
            <w:tcW w:w="5103" w:type="dxa"/>
          </w:tcPr>
          <w:p w14:paraId="47AA25B3" w14:textId="4D624570" w:rsidR="0060223F" w:rsidRPr="00D11D6C" w:rsidRDefault="0060223F" w:rsidP="00D11D6C">
            <w:pPr>
              <w:spacing w:before="120" w:after="120"/>
              <w:rPr>
                <w:rFonts w:ascii="Verdana" w:hAnsi="Verdana"/>
                <w:sz w:val="18"/>
              </w:rPr>
            </w:pPr>
            <w:r>
              <w:rPr>
                <w:rFonts w:ascii="Verdana" w:hAnsi="Verdana"/>
                <w:sz w:val="18"/>
              </w:rPr>
              <w:t xml:space="preserve">Rule 1.10 states: </w:t>
            </w:r>
            <w:r w:rsidRPr="00D11D6C">
              <w:rPr>
                <w:rFonts w:ascii="Verdana" w:hAnsi="Verdana"/>
                <w:i/>
                <w:sz w:val="18"/>
              </w:rPr>
              <w:t>For these rules, an outsourced service provider is a person to whom an accredited person discloses CDR data under a CDR outsourcing arrangement.</w:t>
            </w:r>
          </w:p>
          <w:p w14:paraId="58D55CFD" w14:textId="103051F0" w:rsidR="0060223F" w:rsidRPr="005738AC" w:rsidRDefault="00AA113A" w:rsidP="00C17046">
            <w:pPr>
              <w:spacing w:before="120" w:after="120"/>
              <w:rPr>
                <w:rFonts w:ascii="Verdana" w:hAnsi="Verdana"/>
                <w:sz w:val="18"/>
              </w:rPr>
            </w:pPr>
            <w:r w:rsidRPr="00AA113A">
              <w:rPr>
                <w:rFonts w:ascii="Verdana" w:hAnsi="Verdana"/>
                <w:bCs/>
                <w:sz w:val="18"/>
              </w:rPr>
              <w:t xml:space="preserve">Make sure </w:t>
            </w:r>
            <w:r>
              <w:rPr>
                <w:rFonts w:ascii="Verdana" w:hAnsi="Verdana"/>
                <w:bCs/>
                <w:sz w:val="18"/>
              </w:rPr>
              <w:t xml:space="preserve">we have a </w:t>
            </w:r>
            <w:r w:rsidR="0060223F" w:rsidRPr="00AA113A">
              <w:rPr>
                <w:rFonts w:ascii="Verdana" w:hAnsi="Verdana"/>
                <w:bCs/>
                <w:sz w:val="18"/>
              </w:rPr>
              <w:t xml:space="preserve">written </w:t>
            </w:r>
            <w:r>
              <w:rPr>
                <w:rFonts w:ascii="Verdana" w:hAnsi="Verdana"/>
                <w:bCs/>
                <w:sz w:val="18"/>
              </w:rPr>
              <w:t xml:space="preserve">agreement with </w:t>
            </w:r>
            <w:r w:rsidR="0060223F">
              <w:rPr>
                <w:rFonts w:ascii="Verdana" w:hAnsi="Verdana"/>
                <w:sz w:val="18"/>
              </w:rPr>
              <w:t>any</w:t>
            </w:r>
            <w:r>
              <w:rPr>
                <w:rFonts w:ascii="Verdana" w:hAnsi="Verdana"/>
                <w:sz w:val="18"/>
              </w:rPr>
              <w:t xml:space="preserve"> third party to whom we disclose CDR data, that is co</w:t>
            </w:r>
            <w:r w:rsidR="0060223F" w:rsidRPr="00D11D6C">
              <w:rPr>
                <w:rFonts w:ascii="Verdana" w:hAnsi="Verdana"/>
                <w:sz w:val="18"/>
              </w:rPr>
              <w:t>mpliant with</w:t>
            </w:r>
            <w:r w:rsidR="0060223F">
              <w:rPr>
                <w:rFonts w:ascii="Verdana" w:hAnsi="Verdana"/>
                <w:sz w:val="18"/>
              </w:rPr>
              <w:t xml:space="preserve"> the various clauses specified in</w:t>
            </w:r>
            <w:r w:rsidR="0060223F" w:rsidRPr="00D11D6C">
              <w:rPr>
                <w:rFonts w:ascii="Verdana" w:hAnsi="Verdana"/>
                <w:sz w:val="18"/>
              </w:rPr>
              <w:t xml:space="preserve"> Rule 1.10</w:t>
            </w:r>
          </w:p>
        </w:tc>
        <w:tc>
          <w:tcPr>
            <w:tcW w:w="1134" w:type="dxa"/>
            <w:shd w:val="clear" w:color="auto" w:fill="auto"/>
            <w:vAlign w:val="center"/>
          </w:tcPr>
          <w:p w14:paraId="0C5D366C" w14:textId="1A8A1429" w:rsidR="0060223F" w:rsidRPr="00791489" w:rsidRDefault="0060223F" w:rsidP="00DE2848">
            <w:pPr>
              <w:jc w:val="center"/>
              <w:rPr>
                <w:rFonts w:ascii="Verdana" w:hAnsi="Verdana"/>
                <w:sz w:val="18"/>
              </w:rPr>
            </w:pPr>
          </w:p>
        </w:tc>
        <w:tc>
          <w:tcPr>
            <w:tcW w:w="1134" w:type="dxa"/>
            <w:shd w:val="clear" w:color="auto" w:fill="92D050"/>
            <w:vAlign w:val="center"/>
          </w:tcPr>
          <w:p w14:paraId="4BD62E01" w14:textId="306ABEAC" w:rsidR="0060223F" w:rsidRPr="00791489" w:rsidRDefault="0060223F" w:rsidP="00A97E3D">
            <w:pPr>
              <w:jc w:val="center"/>
              <w:rPr>
                <w:rFonts w:ascii="Verdana" w:hAnsi="Verdana"/>
                <w:sz w:val="18"/>
              </w:rPr>
            </w:pPr>
            <w:r>
              <w:rPr>
                <w:rFonts w:ascii="Verdana" w:hAnsi="Verdana"/>
                <w:sz w:val="18"/>
              </w:rPr>
              <w:t>No policy content required</w:t>
            </w:r>
          </w:p>
        </w:tc>
      </w:tr>
      <w:tr w:rsidR="0060223F" w:rsidRPr="00791489" w14:paraId="704D553A" w14:textId="549DFFCC" w:rsidTr="00AA113A">
        <w:tc>
          <w:tcPr>
            <w:tcW w:w="421" w:type="dxa"/>
            <w:tcMar>
              <w:top w:w="28" w:type="dxa"/>
              <w:left w:w="28" w:type="dxa"/>
              <w:bottom w:w="28" w:type="dxa"/>
              <w:right w:w="57" w:type="dxa"/>
            </w:tcMar>
            <w:vAlign w:val="center"/>
          </w:tcPr>
          <w:p w14:paraId="0A02A0C0" w14:textId="7482DD99" w:rsidR="0060223F" w:rsidRPr="00791489" w:rsidRDefault="00AA113A" w:rsidP="0022686E">
            <w:pPr>
              <w:spacing w:before="120" w:after="120"/>
              <w:rPr>
                <w:rFonts w:ascii="Verdana" w:hAnsi="Verdana"/>
                <w:sz w:val="18"/>
              </w:rPr>
            </w:pPr>
            <w:r>
              <w:rPr>
                <w:rFonts w:ascii="Verdana" w:hAnsi="Verdana"/>
                <w:b/>
                <w:noProof/>
                <w:sz w:val="18"/>
              </w:rPr>
              <w:drawing>
                <wp:inline distT="0" distB="0" distL="0" distR="0" wp14:anchorId="5B7C289F" wp14:editId="452F4749">
                  <wp:extent cx="213360" cy="213360"/>
                  <wp:effectExtent l="0" t="0" r="0" b="0"/>
                  <wp:docPr id="16" name="Picture 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069E0C3A" w14:textId="6BCF47CE" w:rsidR="0060223F" w:rsidRPr="00791489" w:rsidRDefault="0060223F" w:rsidP="0022686E">
            <w:pPr>
              <w:spacing w:before="120" w:after="120"/>
              <w:rPr>
                <w:rFonts w:ascii="Verdana" w:hAnsi="Verdana"/>
                <w:sz w:val="18"/>
              </w:rPr>
            </w:pPr>
            <w:r w:rsidRPr="00791489">
              <w:rPr>
                <w:rFonts w:ascii="Verdana" w:hAnsi="Verdana"/>
                <w:sz w:val="18"/>
              </w:rPr>
              <w:t>Note 2</w:t>
            </w:r>
          </w:p>
        </w:tc>
        <w:tc>
          <w:tcPr>
            <w:tcW w:w="5528" w:type="dxa"/>
          </w:tcPr>
          <w:p w14:paraId="7847BD3F" w14:textId="7D62542C" w:rsidR="0060223F" w:rsidRPr="00791489" w:rsidRDefault="0060223F" w:rsidP="00411F83">
            <w:pPr>
              <w:spacing w:before="120" w:after="120"/>
              <w:rPr>
                <w:rFonts w:ascii="Verdana" w:hAnsi="Verdana"/>
                <w:sz w:val="18"/>
              </w:rPr>
            </w:pPr>
            <w:r w:rsidRPr="00791489">
              <w:rPr>
                <w:rFonts w:ascii="Verdana" w:hAnsi="Verdana"/>
                <w:sz w:val="18"/>
              </w:rPr>
              <w:t>For paragraph (d), if the service provider is an accredited person who is based overseas, paragraph 56ED(5)(f) of the Act requires similar information to be contained in the accredited data recipient's CDR policy.</w:t>
            </w:r>
          </w:p>
        </w:tc>
        <w:tc>
          <w:tcPr>
            <w:tcW w:w="5103" w:type="dxa"/>
          </w:tcPr>
          <w:p w14:paraId="73341238" w14:textId="3A15F6A1" w:rsidR="0060223F" w:rsidRPr="00791489" w:rsidRDefault="00AA113A" w:rsidP="00203CE8">
            <w:pPr>
              <w:spacing w:before="120" w:after="120"/>
              <w:rPr>
                <w:rFonts w:ascii="Verdana" w:hAnsi="Verdana"/>
                <w:sz w:val="18"/>
              </w:rPr>
            </w:pPr>
            <w:r>
              <w:rPr>
                <w:rFonts w:ascii="Verdana" w:hAnsi="Verdana"/>
                <w:sz w:val="18"/>
              </w:rPr>
              <w:t>This won’t apply if OSPs aren’t based overseas.</w:t>
            </w:r>
            <w:r w:rsidR="0060223F">
              <w:rPr>
                <w:rFonts w:ascii="Verdana" w:hAnsi="Verdana"/>
                <w:sz w:val="18"/>
              </w:rPr>
              <w:t xml:space="preserve"> </w:t>
            </w:r>
            <w:r>
              <w:rPr>
                <w:rFonts w:ascii="Verdana" w:hAnsi="Verdana"/>
                <w:sz w:val="18"/>
              </w:rPr>
              <w:t>It can be dealt with via a blanket statement advising</w:t>
            </w:r>
            <w:r w:rsidR="0060223F">
              <w:rPr>
                <w:rFonts w:ascii="Verdana" w:hAnsi="Verdana"/>
                <w:sz w:val="18"/>
              </w:rPr>
              <w:t xml:space="preserve"> </w:t>
            </w:r>
            <w:r>
              <w:rPr>
                <w:rFonts w:ascii="Verdana" w:hAnsi="Verdana"/>
                <w:sz w:val="18"/>
              </w:rPr>
              <w:t>‘</w:t>
            </w:r>
            <w:r w:rsidR="0060223F">
              <w:rPr>
                <w:rFonts w:ascii="Verdana" w:hAnsi="Verdana"/>
                <w:sz w:val="18"/>
              </w:rPr>
              <w:t>we don’t outsource to overseas service providers</w:t>
            </w:r>
            <w:r>
              <w:rPr>
                <w:rFonts w:ascii="Verdana" w:hAnsi="Verdana"/>
                <w:sz w:val="18"/>
              </w:rPr>
              <w:t>’.</w:t>
            </w:r>
          </w:p>
        </w:tc>
        <w:tc>
          <w:tcPr>
            <w:tcW w:w="1134" w:type="dxa"/>
            <w:shd w:val="clear" w:color="auto" w:fill="auto"/>
            <w:vAlign w:val="center"/>
          </w:tcPr>
          <w:p w14:paraId="2FABE3C2" w14:textId="46B304AF" w:rsidR="0060223F" w:rsidRPr="00791489" w:rsidRDefault="0060223F" w:rsidP="00DE2848">
            <w:pPr>
              <w:jc w:val="center"/>
              <w:rPr>
                <w:rFonts w:ascii="Verdana" w:hAnsi="Verdana"/>
                <w:sz w:val="18"/>
              </w:rPr>
            </w:pPr>
          </w:p>
        </w:tc>
        <w:tc>
          <w:tcPr>
            <w:tcW w:w="1134" w:type="dxa"/>
            <w:shd w:val="clear" w:color="auto" w:fill="auto"/>
            <w:vAlign w:val="center"/>
          </w:tcPr>
          <w:p w14:paraId="4C6B16F7" w14:textId="79C2F161" w:rsidR="0060223F" w:rsidRPr="00791489" w:rsidRDefault="0060223F" w:rsidP="00A71ABF">
            <w:pPr>
              <w:jc w:val="center"/>
              <w:rPr>
                <w:rFonts w:ascii="Verdana" w:hAnsi="Verdana"/>
                <w:sz w:val="18"/>
              </w:rPr>
            </w:pPr>
          </w:p>
        </w:tc>
      </w:tr>
      <w:tr w:rsidR="0060223F" w:rsidRPr="00791489" w14:paraId="01D01BB3" w14:textId="0F20E40C" w:rsidTr="00AA113A">
        <w:tc>
          <w:tcPr>
            <w:tcW w:w="421" w:type="dxa"/>
            <w:tcMar>
              <w:top w:w="28" w:type="dxa"/>
              <w:left w:w="28" w:type="dxa"/>
              <w:bottom w:w="28" w:type="dxa"/>
              <w:right w:w="57" w:type="dxa"/>
            </w:tcMar>
            <w:vAlign w:val="center"/>
          </w:tcPr>
          <w:p w14:paraId="4ED30627" w14:textId="42943EFF" w:rsidR="0060223F" w:rsidRPr="00791489" w:rsidRDefault="00AA113A" w:rsidP="0022686E">
            <w:pPr>
              <w:spacing w:before="120" w:after="120"/>
              <w:rPr>
                <w:rFonts w:ascii="Verdana" w:hAnsi="Verdana"/>
                <w:sz w:val="18"/>
              </w:rPr>
            </w:pPr>
            <w:r>
              <w:rPr>
                <w:rFonts w:ascii="Verdana" w:hAnsi="Verdana"/>
                <w:b/>
                <w:noProof/>
                <w:sz w:val="18"/>
              </w:rPr>
              <w:drawing>
                <wp:inline distT="0" distB="0" distL="0" distR="0" wp14:anchorId="4C419F51" wp14:editId="0C89C8BC">
                  <wp:extent cx="213360" cy="213360"/>
                  <wp:effectExtent l="0" t="0" r="0" b="0"/>
                  <wp:docPr id="17" name="Picture 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177DE0FE" w14:textId="21DDA36B" w:rsidR="0060223F" w:rsidRPr="00791489" w:rsidRDefault="0060223F" w:rsidP="0022686E">
            <w:pPr>
              <w:spacing w:before="120" w:after="120"/>
              <w:rPr>
                <w:rFonts w:ascii="Verdana" w:hAnsi="Verdana"/>
                <w:sz w:val="18"/>
              </w:rPr>
            </w:pPr>
            <w:r w:rsidRPr="00791489">
              <w:rPr>
                <w:rFonts w:ascii="Verdana" w:hAnsi="Verdana"/>
                <w:sz w:val="18"/>
              </w:rPr>
              <w:t>Note 3</w:t>
            </w:r>
          </w:p>
        </w:tc>
        <w:tc>
          <w:tcPr>
            <w:tcW w:w="5528" w:type="dxa"/>
          </w:tcPr>
          <w:p w14:paraId="532D1CDB" w14:textId="7698368B" w:rsidR="0060223F" w:rsidRPr="00791489" w:rsidRDefault="0060223F" w:rsidP="00D11B82">
            <w:pPr>
              <w:spacing w:before="120" w:after="120"/>
              <w:rPr>
                <w:rFonts w:ascii="Verdana" w:hAnsi="Verdana"/>
                <w:sz w:val="18"/>
              </w:rPr>
            </w:pPr>
            <w:r w:rsidRPr="00791489">
              <w:rPr>
                <w:rFonts w:ascii="Verdana" w:hAnsi="Verdana"/>
                <w:sz w:val="18"/>
              </w:rPr>
              <w:t xml:space="preserve">This </w:t>
            </w:r>
            <w:proofErr w:type="spellStart"/>
            <w:r w:rsidRPr="00791489">
              <w:rPr>
                <w:rFonts w:ascii="Verdana" w:hAnsi="Verdana"/>
                <w:sz w:val="18"/>
              </w:rPr>
              <w:t>subrule</w:t>
            </w:r>
            <w:proofErr w:type="spellEnd"/>
            <w:r w:rsidRPr="00791489">
              <w:rPr>
                <w:rFonts w:ascii="Verdana" w:hAnsi="Verdana"/>
                <w:sz w:val="18"/>
              </w:rPr>
              <w:t xml:space="preserve"> is a civil penalty provision (see rule 9.8).</w:t>
            </w:r>
          </w:p>
        </w:tc>
        <w:tc>
          <w:tcPr>
            <w:tcW w:w="5103" w:type="dxa"/>
          </w:tcPr>
          <w:p w14:paraId="04B8DA53" w14:textId="587CD2C1" w:rsidR="0060223F" w:rsidRPr="00791489" w:rsidRDefault="0060223F" w:rsidP="00D11B82">
            <w:pPr>
              <w:spacing w:before="120" w:after="120"/>
              <w:rPr>
                <w:rFonts w:ascii="Verdana" w:hAnsi="Verdana"/>
                <w:sz w:val="18"/>
              </w:rPr>
            </w:pPr>
            <w:r>
              <w:rPr>
                <w:rFonts w:ascii="Verdana" w:hAnsi="Verdana"/>
                <w:sz w:val="18"/>
              </w:rPr>
              <w:t>Rule 9.8 lists all the clauses that have civil penalty provisions (within the meaning of the Regulatory Powers Act)</w:t>
            </w:r>
            <w:r w:rsidR="00803B8A">
              <w:rPr>
                <w:rFonts w:ascii="Verdana" w:hAnsi="Verdana"/>
                <w:sz w:val="18"/>
              </w:rPr>
              <w:t>.  There are lots…</w:t>
            </w:r>
          </w:p>
        </w:tc>
        <w:tc>
          <w:tcPr>
            <w:tcW w:w="1134" w:type="dxa"/>
            <w:shd w:val="clear" w:color="auto" w:fill="auto"/>
            <w:vAlign w:val="center"/>
          </w:tcPr>
          <w:p w14:paraId="429C50AF" w14:textId="02418777" w:rsidR="0060223F" w:rsidRPr="00791489" w:rsidRDefault="0060223F" w:rsidP="00DE2848">
            <w:pPr>
              <w:jc w:val="center"/>
              <w:rPr>
                <w:rFonts w:ascii="Verdana" w:hAnsi="Verdana"/>
                <w:sz w:val="18"/>
              </w:rPr>
            </w:pPr>
          </w:p>
        </w:tc>
        <w:tc>
          <w:tcPr>
            <w:tcW w:w="1134" w:type="dxa"/>
            <w:shd w:val="clear" w:color="auto" w:fill="92D050"/>
            <w:vAlign w:val="center"/>
          </w:tcPr>
          <w:p w14:paraId="7BD94C90" w14:textId="698AE77F" w:rsidR="0060223F" w:rsidRPr="00791489" w:rsidRDefault="0060223F" w:rsidP="00BF1E3D">
            <w:pPr>
              <w:jc w:val="center"/>
              <w:rPr>
                <w:rFonts w:ascii="Verdana" w:hAnsi="Verdana"/>
                <w:sz w:val="18"/>
              </w:rPr>
            </w:pPr>
            <w:r>
              <w:rPr>
                <w:rFonts w:ascii="Verdana" w:hAnsi="Verdana"/>
                <w:sz w:val="18"/>
              </w:rPr>
              <w:t>No policy content required</w:t>
            </w:r>
          </w:p>
        </w:tc>
      </w:tr>
      <w:tr w:rsidR="0060223F" w:rsidRPr="00791489" w14:paraId="4606E71B" w14:textId="6C658AFB" w:rsidTr="0060223F">
        <w:tc>
          <w:tcPr>
            <w:tcW w:w="421" w:type="dxa"/>
            <w:tcMar>
              <w:top w:w="28" w:type="dxa"/>
              <w:left w:w="28" w:type="dxa"/>
              <w:bottom w:w="28" w:type="dxa"/>
              <w:right w:w="57" w:type="dxa"/>
            </w:tcMar>
            <w:vAlign w:val="center"/>
          </w:tcPr>
          <w:p w14:paraId="628F254F" w14:textId="77777777" w:rsidR="0060223F" w:rsidRPr="00A066D7" w:rsidRDefault="0060223F" w:rsidP="00E64A4A">
            <w:pPr>
              <w:spacing w:before="120" w:after="120"/>
              <w:rPr>
                <w:rFonts w:ascii="Verdana" w:hAnsi="Verdana"/>
                <w:b/>
                <w:sz w:val="18"/>
              </w:rPr>
            </w:pPr>
          </w:p>
        </w:tc>
        <w:tc>
          <w:tcPr>
            <w:tcW w:w="992" w:type="dxa"/>
          </w:tcPr>
          <w:p w14:paraId="33CD4216" w14:textId="109FEE8C" w:rsidR="0060223F" w:rsidRPr="00A066D7" w:rsidRDefault="0060223F" w:rsidP="00E64A4A">
            <w:pPr>
              <w:spacing w:before="120" w:after="120"/>
              <w:rPr>
                <w:rFonts w:ascii="Verdana" w:hAnsi="Verdana"/>
                <w:b/>
                <w:sz w:val="18"/>
              </w:rPr>
            </w:pPr>
            <w:r w:rsidRPr="00A066D7">
              <w:rPr>
                <w:rFonts w:ascii="Verdana" w:hAnsi="Verdana"/>
                <w:b/>
                <w:sz w:val="18"/>
              </w:rPr>
              <w:t>Rules 7.2 (5)</w:t>
            </w:r>
          </w:p>
        </w:tc>
        <w:tc>
          <w:tcPr>
            <w:tcW w:w="11765" w:type="dxa"/>
            <w:gridSpan w:val="3"/>
            <w:vAlign w:val="center"/>
          </w:tcPr>
          <w:p w14:paraId="646D0933" w14:textId="330A328C" w:rsidR="0060223F" w:rsidRPr="00791489" w:rsidRDefault="0060223F" w:rsidP="00B847FC">
            <w:pPr>
              <w:spacing w:before="120" w:after="120"/>
              <w:rPr>
                <w:rFonts w:ascii="Verdana" w:hAnsi="Verdana"/>
                <w:sz w:val="18"/>
              </w:rPr>
            </w:pPr>
            <w:r w:rsidRPr="00791489">
              <w:rPr>
                <w:rFonts w:ascii="Verdana" w:hAnsi="Verdana"/>
                <w:sz w:val="18"/>
              </w:rPr>
              <w:t>For subparagraphs (4)(e)(ii) and (g)(ii), the further information is:</w:t>
            </w:r>
          </w:p>
        </w:tc>
        <w:tc>
          <w:tcPr>
            <w:tcW w:w="1134" w:type="dxa"/>
            <w:vAlign w:val="center"/>
          </w:tcPr>
          <w:p w14:paraId="0E91A983" w14:textId="77777777" w:rsidR="0060223F" w:rsidRPr="00791489" w:rsidRDefault="0060223F" w:rsidP="00B847FC">
            <w:pPr>
              <w:spacing w:before="120" w:after="120"/>
              <w:rPr>
                <w:rFonts w:ascii="Verdana" w:hAnsi="Verdana"/>
                <w:sz w:val="18"/>
              </w:rPr>
            </w:pPr>
          </w:p>
        </w:tc>
      </w:tr>
      <w:tr w:rsidR="0060223F" w:rsidRPr="00791489" w14:paraId="6F8E23C6" w14:textId="0A5F3F38" w:rsidTr="00EA2AC2">
        <w:tc>
          <w:tcPr>
            <w:tcW w:w="421" w:type="dxa"/>
            <w:tcMar>
              <w:top w:w="28" w:type="dxa"/>
              <w:left w:w="28" w:type="dxa"/>
              <w:bottom w:w="28" w:type="dxa"/>
              <w:right w:w="57" w:type="dxa"/>
            </w:tcMar>
            <w:vAlign w:val="center"/>
          </w:tcPr>
          <w:p w14:paraId="49C8F2FA" w14:textId="0B7D434C" w:rsidR="0060223F" w:rsidRPr="00791489" w:rsidRDefault="00AA113A" w:rsidP="00581710">
            <w:pPr>
              <w:spacing w:before="120" w:after="120"/>
              <w:jc w:val="right"/>
              <w:rPr>
                <w:rFonts w:ascii="Verdana" w:hAnsi="Verdana"/>
                <w:sz w:val="18"/>
              </w:rPr>
            </w:pPr>
            <w:r>
              <w:rPr>
                <w:rFonts w:ascii="Verdana" w:hAnsi="Verdana"/>
                <w:b/>
                <w:noProof/>
                <w:sz w:val="18"/>
              </w:rPr>
              <w:drawing>
                <wp:inline distT="0" distB="0" distL="0" distR="0" wp14:anchorId="5F8B7E58" wp14:editId="057AD79B">
                  <wp:extent cx="213360" cy="213360"/>
                  <wp:effectExtent l="0" t="0" r="0" b="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7E66A734" w14:textId="2897273C" w:rsidR="0060223F" w:rsidRPr="00791489" w:rsidRDefault="0060223F" w:rsidP="00581710">
            <w:pPr>
              <w:spacing w:before="120" w:after="120"/>
              <w:jc w:val="right"/>
              <w:rPr>
                <w:rFonts w:ascii="Verdana" w:hAnsi="Verdana"/>
                <w:sz w:val="18"/>
              </w:rPr>
            </w:pPr>
            <w:r w:rsidRPr="00791489">
              <w:rPr>
                <w:rFonts w:ascii="Verdana" w:hAnsi="Verdana"/>
                <w:sz w:val="18"/>
              </w:rPr>
              <w:t>(a)</w:t>
            </w:r>
          </w:p>
        </w:tc>
        <w:tc>
          <w:tcPr>
            <w:tcW w:w="5528" w:type="dxa"/>
          </w:tcPr>
          <w:p w14:paraId="43297BF0" w14:textId="337355DA" w:rsidR="0060223F" w:rsidRPr="00791489" w:rsidRDefault="0060223F" w:rsidP="00F01A7E">
            <w:pPr>
              <w:spacing w:before="120" w:after="120"/>
              <w:rPr>
                <w:rFonts w:ascii="Verdana" w:hAnsi="Verdana"/>
                <w:sz w:val="18"/>
              </w:rPr>
            </w:pPr>
            <w:r w:rsidRPr="00791489">
              <w:rPr>
                <w:rFonts w:ascii="Verdana" w:hAnsi="Verdana"/>
                <w:sz w:val="18"/>
              </w:rPr>
              <w:t>how the accredited person de-identifies CDR data, including a description of techniques that it uses to de-identify data; and</w:t>
            </w:r>
          </w:p>
        </w:tc>
        <w:tc>
          <w:tcPr>
            <w:tcW w:w="5103" w:type="dxa"/>
          </w:tcPr>
          <w:p w14:paraId="29847E61" w14:textId="7FE8444B" w:rsidR="0060223F" w:rsidRPr="00791489" w:rsidRDefault="00EE37E2" w:rsidP="00581710">
            <w:pPr>
              <w:spacing w:before="120" w:after="120"/>
              <w:rPr>
                <w:rFonts w:ascii="Verdana" w:hAnsi="Verdana"/>
                <w:sz w:val="18"/>
              </w:rPr>
            </w:pPr>
            <w:r>
              <w:rPr>
                <w:rFonts w:ascii="Verdana" w:hAnsi="Verdana"/>
                <w:sz w:val="18"/>
              </w:rPr>
              <w:t>This needs to have some reasonable depth to it</w:t>
            </w:r>
            <w:r w:rsidR="00803B8A">
              <w:rPr>
                <w:rFonts w:ascii="Verdana" w:hAnsi="Verdana"/>
                <w:sz w:val="18"/>
              </w:rPr>
              <w:t>,</w:t>
            </w:r>
            <w:r>
              <w:rPr>
                <w:rFonts w:ascii="Verdana" w:hAnsi="Verdana"/>
                <w:sz w:val="18"/>
              </w:rPr>
              <w:t xml:space="preserve"> but avoid going into detailed technical </w:t>
            </w:r>
            <w:r w:rsidR="00EA2AC2">
              <w:rPr>
                <w:rFonts w:ascii="Verdana" w:hAnsi="Verdana"/>
                <w:sz w:val="18"/>
              </w:rPr>
              <w:t>that won’t be beneficial to consumers and may confuse them</w:t>
            </w:r>
            <w:r w:rsidR="00803B8A">
              <w:rPr>
                <w:rFonts w:ascii="Verdana" w:hAnsi="Verdana"/>
                <w:sz w:val="18"/>
              </w:rPr>
              <w:t>.</w:t>
            </w:r>
          </w:p>
        </w:tc>
        <w:tc>
          <w:tcPr>
            <w:tcW w:w="1134" w:type="dxa"/>
            <w:shd w:val="clear" w:color="auto" w:fill="auto"/>
            <w:vAlign w:val="center"/>
          </w:tcPr>
          <w:p w14:paraId="5AF1210F" w14:textId="444A5916" w:rsidR="0060223F" w:rsidRPr="00791489" w:rsidRDefault="0060223F" w:rsidP="00753D3A">
            <w:pPr>
              <w:jc w:val="center"/>
              <w:rPr>
                <w:rFonts w:ascii="Verdana" w:hAnsi="Verdana"/>
                <w:sz w:val="18"/>
              </w:rPr>
            </w:pPr>
          </w:p>
        </w:tc>
        <w:tc>
          <w:tcPr>
            <w:tcW w:w="1134" w:type="dxa"/>
            <w:shd w:val="clear" w:color="auto" w:fill="auto"/>
            <w:vAlign w:val="center"/>
          </w:tcPr>
          <w:p w14:paraId="03090BFB" w14:textId="79942B34" w:rsidR="0060223F" w:rsidRPr="00791489" w:rsidRDefault="0060223F" w:rsidP="00BE72D9">
            <w:pPr>
              <w:jc w:val="center"/>
              <w:rPr>
                <w:rFonts w:ascii="Verdana" w:hAnsi="Verdana"/>
                <w:sz w:val="18"/>
              </w:rPr>
            </w:pPr>
          </w:p>
        </w:tc>
      </w:tr>
      <w:tr w:rsidR="0060223F" w:rsidRPr="00791489" w14:paraId="07E0CC0C" w14:textId="6FA80720" w:rsidTr="00EA2AC2">
        <w:tc>
          <w:tcPr>
            <w:tcW w:w="421" w:type="dxa"/>
            <w:tcMar>
              <w:top w:w="28" w:type="dxa"/>
              <w:left w:w="28" w:type="dxa"/>
              <w:bottom w:w="28" w:type="dxa"/>
              <w:right w:w="57" w:type="dxa"/>
            </w:tcMar>
            <w:vAlign w:val="center"/>
          </w:tcPr>
          <w:p w14:paraId="4ABA82B5" w14:textId="29B084B8" w:rsidR="0060223F" w:rsidRPr="00791489" w:rsidRDefault="00EA2AC2" w:rsidP="00581710">
            <w:pPr>
              <w:spacing w:before="120" w:after="120"/>
              <w:jc w:val="right"/>
              <w:rPr>
                <w:rFonts w:ascii="Verdana" w:hAnsi="Verdana"/>
                <w:sz w:val="18"/>
              </w:rPr>
            </w:pPr>
            <w:r>
              <w:rPr>
                <w:rFonts w:ascii="Verdana" w:hAnsi="Verdana"/>
                <w:b/>
                <w:noProof/>
                <w:sz w:val="18"/>
              </w:rPr>
              <w:drawing>
                <wp:inline distT="0" distB="0" distL="0" distR="0" wp14:anchorId="73E04ED9" wp14:editId="7F3DCA06">
                  <wp:extent cx="213360" cy="213360"/>
                  <wp:effectExtent l="0" t="0" r="0" b="0"/>
                  <wp:docPr id="19" name="Picture 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5B165AD1" w14:textId="3D1E33EB" w:rsidR="0060223F" w:rsidRPr="00791489" w:rsidRDefault="0060223F" w:rsidP="00581710">
            <w:pPr>
              <w:spacing w:before="120" w:after="120"/>
              <w:jc w:val="right"/>
              <w:rPr>
                <w:rFonts w:ascii="Verdana" w:hAnsi="Verdana"/>
                <w:sz w:val="18"/>
              </w:rPr>
            </w:pPr>
            <w:r w:rsidRPr="00791489">
              <w:rPr>
                <w:rFonts w:ascii="Verdana" w:hAnsi="Verdana"/>
                <w:sz w:val="18"/>
              </w:rPr>
              <w:t>(b)</w:t>
            </w:r>
          </w:p>
        </w:tc>
        <w:tc>
          <w:tcPr>
            <w:tcW w:w="5528" w:type="dxa"/>
          </w:tcPr>
          <w:p w14:paraId="58E48AEA" w14:textId="77777777" w:rsidR="0060223F" w:rsidRPr="00791489" w:rsidRDefault="0060223F" w:rsidP="00006C98">
            <w:pPr>
              <w:spacing w:before="120" w:after="120"/>
              <w:rPr>
                <w:rFonts w:ascii="Verdana" w:hAnsi="Verdana"/>
                <w:sz w:val="18"/>
              </w:rPr>
            </w:pPr>
            <w:r w:rsidRPr="00791489">
              <w:rPr>
                <w:rFonts w:ascii="Verdana" w:hAnsi="Verdana"/>
                <w:sz w:val="18"/>
              </w:rPr>
              <w:t>if the accredited person ordinarily discloses (by sale or otherwise) de-identified data to one or more other persons:</w:t>
            </w:r>
          </w:p>
          <w:p w14:paraId="66D12556" w14:textId="77777777" w:rsidR="0060223F" w:rsidRPr="00791489" w:rsidRDefault="0060223F" w:rsidP="007D3B3F">
            <w:pPr>
              <w:pStyle w:val="ListParagraph"/>
              <w:numPr>
                <w:ilvl w:val="0"/>
                <w:numId w:val="31"/>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that fact; and</w:t>
            </w:r>
          </w:p>
          <w:p w14:paraId="6D3E30EC" w14:textId="77777777" w:rsidR="0060223F" w:rsidRPr="00791489" w:rsidRDefault="0060223F" w:rsidP="007D3B3F">
            <w:pPr>
              <w:pStyle w:val="ListParagraph"/>
              <w:numPr>
                <w:ilvl w:val="0"/>
                <w:numId w:val="31"/>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to what classes of person it ordinarily discloses such data; and</w:t>
            </w:r>
          </w:p>
          <w:p w14:paraId="03A6F3CC" w14:textId="4CD9E23A" w:rsidR="0060223F" w:rsidRPr="00791489" w:rsidRDefault="0060223F" w:rsidP="007D3B3F">
            <w:pPr>
              <w:pStyle w:val="ListParagraph"/>
              <w:numPr>
                <w:ilvl w:val="0"/>
                <w:numId w:val="31"/>
              </w:numPr>
              <w:spacing w:before="120" w:after="120"/>
              <w:rPr>
                <w:rFonts w:ascii="Verdana" w:eastAsiaTheme="minorHAnsi" w:hAnsi="Verdana" w:cstheme="minorBidi"/>
                <w:sz w:val="18"/>
                <w:lang w:val="en-AU"/>
              </w:rPr>
            </w:pPr>
            <w:r w:rsidRPr="00791489">
              <w:rPr>
                <w:rFonts w:ascii="Verdana" w:eastAsiaTheme="minorHAnsi" w:hAnsi="Verdana" w:cstheme="minorBidi"/>
                <w:sz w:val="18"/>
                <w:lang w:val="en-AU"/>
              </w:rPr>
              <w:t>why it so discloses such data.</w:t>
            </w:r>
          </w:p>
        </w:tc>
        <w:tc>
          <w:tcPr>
            <w:tcW w:w="5103" w:type="dxa"/>
          </w:tcPr>
          <w:p w14:paraId="5FE41F9B" w14:textId="7E90E43C" w:rsidR="0060223F" w:rsidRDefault="0060223F" w:rsidP="00581710">
            <w:pPr>
              <w:spacing w:before="120" w:after="120"/>
              <w:rPr>
                <w:rFonts w:ascii="Verdana" w:hAnsi="Verdana"/>
                <w:sz w:val="18"/>
              </w:rPr>
            </w:pPr>
            <w:r>
              <w:rPr>
                <w:rFonts w:ascii="Verdana" w:hAnsi="Verdana"/>
                <w:sz w:val="18"/>
              </w:rPr>
              <w:t xml:space="preserve">We can’t find a definition of classes of person in the Rules.  The Act references them in 56BA(2) but there is no definition.  </w:t>
            </w:r>
          </w:p>
          <w:p w14:paraId="36E393DB" w14:textId="7F5DF9F5" w:rsidR="0060223F" w:rsidRPr="00131EE1" w:rsidRDefault="00EA2AC2" w:rsidP="00EA2AC2">
            <w:pPr>
              <w:spacing w:before="120" w:after="120"/>
              <w:rPr>
                <w:rFonts w:ascii="Verdana" w:hAnsi="Verdana"/>
                <w:i/>
                <w:iCs/>
                <w:sz w:val="18"/>
              </w:rPr>
            </w:pPr>
            <w:r>
              <w:rPr>
                <w:rFonts w:ascii="Verdana" w:hAnsi="Verdana"/>
                <w:sz w:val="18"/>
              </w:rPr>
              <w:t xml:space="preserve">Subsequent guidance from the OAIC is that </w:t>
            </w:r>
            <w:r w:rsidR="0060223F" w:rsidRPr="00131EE1">
              <w:rPr>
                <w:rFonts w:ascii="Verdana" w:hAnsi="Verdana"/>
                <w:i/>
                <w:iCs/>
                <w:sz w:val="18"/>
              </w:rPr>
              <w:t xml:space="preserve">“Entities or persons do not need to be listed individually in the CDR policy, but should be described with enough specificity so that the consumer can understand the nature of those parties who will hold or have access to de-identified data. Examples of ‘classes of persons’ </w:t>
            </w:r>
            <w:r w:rsidR="0060223F" w:rsidRPr="00131EE1">
              <w:rPr>
                <w:rFonts w:ascii="Verdana" w:hAnsi="Verdana"/>
                <w:i/>
                <w:iCs/>
                <w:sz w:val="18"/>
              </w:rPr>
              <w:lastRenderedPageBreak/>
              <w:t>could be insurance companies, market research providers, data analytics services”</w:t>
            </w:r>
          </w:p>
        </w:tc>
        <w:tc>
          <w:tcPr>
            <w:tcW w:w="1134" w:type="dxa"/>
            <w:shd w:val="clear" w:color="auto" w:fill="auto"/>
            <w:vAlign w:val="center"/>
          </w:tcPr>
          <w:p w14:paraId="53ABFB9E" w14:textId="0772AD6B" w:rsidR="0060223F" w:rsidRPr="00791489" w:rsidRDefault="0060223F" w:rsidP="00F95F2A">
            <w:pPr>
              <w:jc w:val="center"/>
              <w:rPr>
                <w:rFonts w:ascii="Verdana" w:hAnsi="Verdana"/>
                <w:sz w:val="18"/>
              </w:rPr>
            </w:pPr>
          </w:p>
        </w:tc>
        <w:tc>
          <w:tcPr>
            <w:tcW w:w="1134" w:type="dxa"/>
            <w:shd w:val="clear" w:color="auto" w:fill="auto"/>
            <w:vAlign w:val="center"/>
          </w:tcPr>
          <w:p w14:paraId="1C2655EE" w14:textId="534B3665" w:rsidR="0060223F" w:rsidRPr="00791489" w:rsidRDefault="0060223F" w:rsidP="00623F3B">
            <w:pPr>
              <w:jc w:val="center"/>
              <w:rPr>
                <w:rFonts w:ascii="Verdana" w:hAnsi="Verdana"/>
                <w:sz w:val="18"/>
              </w:rPr>
            </w:pPr>
          </w:p>
        </w:tc>
      </w:tr>
      <w:tr w:rsidR="0060223F" w:rsidRPr="00791489" w14:paraId="72A369EA" w14:textId="1E313533" w:rsidTr="0060223F">
        <w:tc>
          <w:tcPr>
            <w:tcW w:w="421" w:type="dxa"/>
            <w:tcMar>
              <w:top w:w="28" w:type="dxa"/>
              <w:left w:w="28" w:type="dxa"/>
              <w:bottom w:w="28" w:type="dxa"/>
              <w:right w:w="57" w:type="dxa"/>
            </w:tcMar>
            <w:vAlign w:val="center"/>
          </w:tcPr>
          <w:p w14:paraId="420F36A7" w14:textId="77777777" w:rsidR="0060223F" w:rsidRPr="00A066D7" w:rsidRDefault="0060223F" w:rsidP="00E64A4A">
            <w:pPr>
              <w:spacing w:before="120" w:after="120"/>
              <w:rPr>
                <w:rFonts w:ascii="Verdana" w:hAnsi="Verdana"/>
                <w:b/>
                <w:sz w:val="18"/>
              </w:rPr>
            </w:pPr>
          </w:p>
        </w:tc>
        <w:tc>
          <w:tcPr>
            <w:tcW w:w="992" w:type="dxa"/>
          </w:tcPr>
          <w:p w14:paraId="7D0F278B" w14:textId="70352667" w:rsidR="0060223F" w:rsidRPr="00A066D7" w:rsidRDefault="0060223F" w:rsidP="00E64A4A">
            <w:pPr>
              <w:spacing w:before="120" w:after="120"/>
              <w:rPr>
                <w:rFonts w:ascii="Verdana" w:hAnsi="Verdana"/>
                <w:b/>
                <w:sz w:val="18"/>
              </w:rPr>
            </w:pPr>
            <w:bookmarkStart w:id="2" w:name="_Hlk29552706"/>
            <w:r w:rsidRPr="00A066D7">
              <w:rPr>
                <w:rFonts w:ascii="Verdana" w:hAnsi="Verdana"/>
                <w:b/>
                <w:sz w:val="18"/>
              </w:rPr>
              <w:t>Rules 7.2 (6)</w:t>
            </w:r>
          </w:p>
        </w:tc>
        <w:tc>
          <w:tcPr>
            <w:tcW w:w="11765" w:type="dxa"/>
            <w:gridSpan w:val="3"/>
            <w:vAlign w:val="center"/>
          </w:tcPr>
          <w:p w14:paraId="496CEBEB" w14:textId="580C0EFD" w:rsidR="0060223F" w:rsidRPr="00791489" w:rsidRDefault="0060223F" w:rsidP="00E55624">
            <w:pPr>
              <w:spacing w:before="120" w:after="120"/>
              <w:rPr>
                <w:rFonts w:ascii="Verdana" w:hAnsi="Verdana"/>
                <w:sz w:val="18"/>
              </w:rPr>
            </w:pPr>
            <w:r w:rsidRPr="00791489">
              <w:rPr>
                <w:rFonts w:ascii="Verdana" w:hAnsi="Verdana"/>
                <w:sz w:val="18"/>
              </w:rPr>
              <w:t>In addition to the information referred to in paragraphs 56ED(4)(b) and (5)(d) of the Act, a CDR participant's CDR policy must include the following information in relation to the participant's internal dispute resolution processes:</w:t>
            </w:r>
          </w:p>
        </w:tc>
        <w:tc>
          <w:tcPr>
            <w:tcW w:w="1134" w:type="dxa"/>
            <w:vAlign w:val="center"/>
          </w:tcPr>
          <w:p w14:paraId="60D2B5A0" w14:textId="77777777" w:rsidR="0060223F" w:rsidRPr="00791489" w:rsidRDefault="0060223F" w:rsidP="00E55624">
            <w:pPr>
              <w:spacing w:before="120" w:after="120"/>
              <w:rPr>
                <w:rFonts w:ascii="Verdana" w:hAnsi="Verdana"/>
                <w:sz w:val="18"/>
              </w:rPr>
            </w:pPr>
          </w:p>
        </w:tc>
      </w:tr>
      <w:tr w:rsidR="0060223F" w:rsidRPr="00791489" w14:paraId="438FFA4C" w14:textId="5585AE13" w:rsidTr="00EA2AC2">
        <w:tc>
          <w:tcPr>
            <w:tcW w:w="421" w:type="dxa"/>
            <w:tcMar>
              <w:top w:w="28" w:type="dxa"/>
              <w:left w:w="28" w:type="dxa"/>
              <w:bottom w:w="28" w:type="dxa"/>
              <w:right w:w="57" w:type="dxa"/>
            </w:tcMar>
            <w:vAlign w:val="center"/>
          </w:tcPr>
          <w:p w14:paraId="795C999F" w14:textId="2BA4CF20" w:rsidR="0060223F" w:rsidRPr="00791489" w:rsidRDefault="0060223F" w:rsidP="00E55624">
            <w:pPr>
              <w:spacing w:before="120" w:after="120"/>
              <w:jc w:val="right"/>
              <w:rPr>
                <w:rFonts w:ascii="Verdana" w:hAnsi="Verdana"/>
                <w:sz w:val="18"/>
              </w:rPr>
            </w:pPr>
          </w:p>
        </w:tc>
        <w:tc>
          <w:tcPr>
            <w:tcW w:w="992" w:type="dxa"/>
          </w:tcPr>
          <w:p w14:paraId="54909358" w14:textId="5CB07A9C" w:rsidR="0060223F" w:rsidRPr="00791489" w:rsidRDefault="0060223F" w:rsidP="00E55624">
            <w:pPr>
              <w:spacing w:before="120" w:after="120"/>
              <w:jc w:val="right"/>
              <w:rPr>
                <w:rFonts w:ascii="Verdana" w:hAnsi="Verdana"/>
                <w:sz w:val="18"/>
              </w:rPr>
            </w:pPr>
            <w:r w:rsidRPr="00791489">
              <w:rPr>
                <w:rFonts w:ascii="Verdana" w:hAnsi="Verdana"/>
                <w:sz w:val="18"/>
              </w:rPr>
              <w:t>(a)</w:t>
            </w:r>
          </w:p>
        </w:tc>
        <w:tc>
          <w:tcPr>
            <w:tcW w:w="5528" w:type="dxa"/>
          </w:tcPr>
          <w:p w14:paraId="497177B3" w14:textId="489F9C9E" w:rsidR="0060223F" w:rsidRPr="00791489" w:rsidRDefault="0060223F" w:rsidP="00570184">
            <w:pPr>
              <w:spacing w:before="120" w:after="120"/>
              <w:rPr>
                <w:rFonts w:ascii="Verdana" w:hAnsi="Verdana"/>
                <w:sz w:val="18"/>
              </w:rPr>
            </w:pPr>
            <w:r w:rsidRPr="00791489">
              <w:rPr>
                <w:rFonts w:ascii="Verdana" w:hAnsi="Verdana"/>
                <w:sz w:val="18"/>
              </w:rPr>
              <w:t>where a CDR consumer complaint can be made;</w:t>
            </w:r>
          </w:p>
        </w:tc>
        <w:tc>
          <w:tcPr>
            <w:tcW w:w="5103" w:type="dxa"/>
          </w:tcPr>
          <w:p w14:paraId="2109FAFA" w14:textId="193DB5A5" w:rsidR="0060223F" w:rsidRPr="00791489" w:rsidRDefault="00EA2AC2" w:rsidP="00E55624">
            <w:pPr>
              <w:spacing w:before="120" w:after="120"/>
              <w:rPr>
                <w:rFonts w:ascii="Verdana" w:hAnsi="Verdana"/>
                <w:sz w:val="18"/>
              </w:rPr>
            </w:pPr>
            <w:r>
              <w:rPr>
                <w:rFonts w:ascii="Verdana" w:hAnsi="Verdana"/>
                <w:sz w:val="18"/>
              </w:rPr>
              <w:t xml:space="preserve">At any of our locations, </w:t>
            </w:r>
            <w:r w:rsidR="0060223F" w:rsidRPr="00791489">
              <w:rPr>
                <w:rFonts w:ascii="Verdana" w:hAnsi="Verdana"/>
                <w:sz w:val="18"/>
              </w:rPr>
              <w:t xml:space="preserve">online via website, online via </w:t>
            </w:r>
            <w:r>
              <w:rPr>
                <w:rFonts w:ascii="Verdana" w:hAnsi="Verdana"/>
                <w:sz w:val="18"/>
              </w:rPr>
              <w:t>a</w:t>
            </w:r>
            <w:r w:rsidR="0060223F" w:rsidRPr="00791489">
              <w:rPr>
                <w:rFonts w:ascii="Verdana" w:hAnsi="Verdana"/>
                <w:sz w:val="18"/>
              </w:rPr>
              <w:t>pplication form, calling</w:t>
            </w:r>
            <w:r>
              <w:rPr>
                <w:rFonts w:ascii="Verdana" w:hAnsi="Verdana"/>
                <w:sz w:val="18"/>
              </w:rPr>
              <w:t xml:space="preserve"> contact centre</w:t>
            </w:r>
            <w:r w:rsidR="0060223F" w:rsidRPr="00791489">
              <w:rPr>
                <w:rFonts w:ascii="Verdana" w:hAnsi="Verdana"/>
                <w:sz w:val="18"/>
              </w:rPr>
              <w:t xml:space="preserve"> on 13</w:t>
            </w:r>
            <w:r>
              <w:rPr>
                <w:rFonts w:ascii="Verdana" w:hAnsi="Verdana"/>
                <w:sz w:val="18"/>
              </w:rPr>
              <w:t xml:space="preserve">00… </w:t>
            </w:r>
          </w:p>
        </w:tc>
        <w:tc>
          <w:tcPr>
            <w:tcW w:w="1134" w:type="dxa"/>
            <w:shd w:val="clear" w:color="auto" w:fill="auto"/>
            <w:vAlign w:val="center"/>
          </w:tcPr>
          <w:p w14:paraId="16EE0058" w14:textId="713C8D70" w:rsidR="0060223F" w:rsidRPr="00791489" w:rsidRDefault="0060223F" w:rsidP="007669AE">
            <w:pPr>
              <w:jc w:val="center"/>
              <w:rPr>
                <w:rFonts w:ascii="Verdana" w:hAnsi="Verdana"/>
                <w:sz w:val="18"/>
              </w:rPr>
            </w:pPr>
          </w:p>
        </w:tc>
        <w:tc>
          <w:tcPr>
            <w:tcW w:w="1134" w:type="dxa"/>
            <w:shd w:val="clear" w:color="auto" w:fill="auto"/>
            <w:vAlign w:val="center"/>
          </w:tcPr>
          <w:p w14:paraId="0473FE79" w14:textId="6F6E3036" w:rsidR="0060223F" w:rsidRPr="00791489" w:rsidRDefault="0060223F" w:rsidP="00B26229">
            <w:pPr>
              <w:jc w:val="center"/>
              <w:rPr>
                <w:rFonts w:ascii="Verdana" w:hAnsi="Verdana"/>
                <w:sz w:val="18"/>
              </w:rPr>
            </w:pPr>
          </w:p>
        </w:tc>
      </w:tr>
      <w:tr w:rsidR="0060223F" w:rsidRPr="00791489" w14:paraId="10B0B058" w14:textId="7352122F" w:rsidTr="00EA2AC2">
        <w:tc>
          <w:tcPr>
            <w:tcW w:w="421" w:type="dxa"/>
            <w:tcMar>
              <w:top w:w="28" w:type="dxa"/>
              <w:left w:w="28" w:type="dxa"/>
              <w:bottom w:w="28" w:type="dxa"/>
              <w:right w:w="57" w:type="dxa"/>
            </w:tcMar>
            <w:vAlign w:val="center"/>
          </w:tcPr>
          <w:p w14:paraId="3A1AF9AC" w14:textId="77777777" w:rsidR="0060223F" w:rsidRPr="00791489" w:rsidRDefault="0060223F" w:rsidP="009250D6">
            <w:pPr>
              <w:spacing w:before="120" w:after="120"/>
              <w:jc w:val="right"/>
              <w:rPr>
                <w:rFonts w:ascii="Verdana" w:hAnsi="Verdana"/>
                <w:sz w:val="18"/>
              </w:rPr>
            </w:pPr>
          </w:p>
        </w:tc>
        <w:tc>
          <w:tcPr>
            <w:tcW w:w="992" w:type="dxa"/>
          </w:tcPr>
          <w:p w14:paraId="5FEAF402" w14:textId="707E58A1" w:rsidR="0060223F" w:rsidRPr="00791489" w:rsidRDefault="0060223F" w:rsidP="009250D6">
            <w:pPr>
              <w:spacing w:before="120" w:after="120"/>
              <w:jc w:val="right"/>
              <w:rPr>
                <w:rFonts w:ascii="Verdana" w:hAnsi="Verdana"/>
                <w:sz w:val="18"/>
              </w:rPr>
            </w:pPr>
            <w:r w:rsidRPr="00791489">
              <w:rPr>
                <w:rFonts w:ascii="Verdana" w:hAnsi="Verdana"/>
                <w:sz w:val="18"/>
              </w:rPr>
              <w:t>(b)</w:t>
            </w:r>
          </w:p>
        </w:tc>
        <w:tc>
          <w:tcPr>
            <w:tcW w:w="5528" w:type="dxa"/>
          </w:tcPr>
          <w:p w14:paraId="539FCD7D" w14:textId="496EBF8E" w:rsidR="0060223F" w:rsidRPr="00791489" w:rsidRDefault="0060223F" w:rsidP="009250D6">
            <w:pPr>
              <w:spacing w:before="120" w:after="120"/>
              <w:rPr>
                <w:rFonts w:ascii="Verdana" w:hAnsi="Verdana"/>
                <w:sz w:val="18"/>
              </w:rPr>
            </w:pPr>
            <w:r w:rsidRPr="00791489">
              <w:rPr>
                <w:rFonts w:ascii="Verdana" w:hAnsi="Verdana"/>
                <w:sz w:val="18"/>
              </w:rPr>
              <w:t>how a CDR consumer complaint can be made;</w:t>
            </w:r>
          </w:p>
        </w:tc>
        <w:tc>
          <w:tcPr>
            <w:tcW w:w="5103" w:type="dxa"/>
          </w:tcPr>
          <w:p w14:paraId="543D03BB" w14:textId="46F27EF5" w:rsidR="0060223F" w:rsidRDefault="00EA2AC2" w:rsidP="009250D6">
            <w:pPr>
              <w:spacing w:before="120" w:after="120"/>
              <w:rPr>
                <w:rFonts w:ascii="Verdana" w:hAnsi="Verdana"/>
                <w:sz w:val="18"/>
              </w:rPr>
            </w:pPr>
            <w:r>
              <w:rPr>
                <w:rFonts w:ascii="Verdana" w:hAnsi="Verdana"/>
                <w:sz w:val="18"/>
              </w:rPr>
              <w:t>Consider emulating existing A</w:t>
            </w:r>
            <w:r w:rsidR="0060223F">
              <w:rPr>
                <w:rFonts w:ascii="Verdana" w:hAnsi="Verdana"/>
                <w:sz w:val="18"/>
              </w:rPr>
              <w:t xml:space="preserve">FCA dispute resolution </w:t>
            </w:r>
            <w:r w:rsidR="0060223F" w:rsidRPr="00791489">
              <w:rPr>
                <w:rFonts w:ascii="Verdana" w:hAnsi="Verdana"/>
                <w:sz w:val="18"/>
              </w:rPr>
              <w:t>scheme and align process</w:t>
            </w:r>
            <w:r w:rsidR="0060223F">
              <w:rPr>
                <w:rFonts w:ascii="Verdana" w:hAnsi="Verdana"/>
                <w:sz w:val="18"/>
              </w:rPr>
              <w:t>es.</w:t>
            </w:r>
            <w:r>
              <w:rPr>
                <w:rFonts w:ascii="Verdana" w:hAnsi="Verdana"/>
                <w:sz w:val="18"/>
              </w:rPr>
              <w:t xml:space="preserve">  </w:t>
            </w:r>
          </w:p>
          <w:p w14:paraId="5FFD5664" w14:textId="7DB888ED" w:rsidR="00EA2AC2" w:rsidRDefault="00EA2AC2" w:rsidP="009250D6">
            <w:pPr>
              <w:spacing w:before="120" w:after="120"/>
              <w:rPr>
                <w:rFonts w:ascii="Verdana" w:hAnsi="Verdana"/>
                <w:sz w:val="18"/>
              </w:rPr>
            </w:pPr>
            <w:r>
              <w:rPr>
                <w:rFonts w:ascii="Verdana" w:hAnsi="Verdana"/>
                <w:sz w:val="18"/>
              </w:rPr>
              <w:t>Likely requirement to update existing internal complaints procedure and provide training to staff.</w:t>
            </w:r>
          </w:p>
          <w:p w14:paraId="349B094E" w14:textId="3EC4F7EF" w:rsidR="0060223F" w:rsidRPr="00791489" w:rsidRDefault="00EA2AC2" w:rsidP="00EA2AC2">
            <w:pPr>
              <w:spacing w:before="120" w:after="120"/>
              <w:rPr>
                <w:rFonts w:ascii="Verdana" w:hAnsi="Verdana"/>
                <w:sz w:val="18"/>
              </w:rPr>
            </w:pPr>
            <w:r>
              <w:rPr>
                <w:rFonts w:ascii="Verdana" w:hAnsi="Verdana"/>
                <w:sz w:val="18"/>
              </w:rPr>
              <w:t>Likely to require additional complaints categories to be defined in readiness for reporting once live.</w:t>
            </w:r>
          </w:p>
        </w:tc>
        <w:tc>
          <w:tcPr>
            <w:tcW w:w="1134" w:type="dxa"/>
            <w:shd w:val="clear" w:color="auto" w:fill="auto"/>
            <w:vAlign w:val="center"/>
          </w:tcPr>
          <w:p w14:paraId="3AC0C775" w14:textId="2EDAB5E9" w:rsidR="0060223F" w:rsidRPr="00791489" w:rsidRDefault="0060223F" w:rsidP="009250D6">
            <w:pPr>
              <w:jc w:val="center"/>
              <w:rPr>
                <w:rFonts w:ascii="Verdana" w:hAnsi="Verdana"/>
                <w:sz w:val="18"/>
              </w:rPr>
            </w:pPr>
          </w:p>
        </w:tc>
        <w:tc>
          <w:tcPr>
            <w:tcW w:w="1134" w:type="dxa"/>
            <w:shd w:val="clear" w:color="auto" w:fill="auto"/>
            <w:vAlign w:val="center"/>
          </w:tcPr>
          <w:p w14:paraId="2E909CB2" w14:textId="256856E8" w:rsidR="0060223F" w:rsidRPr="00791489" w:rsidRDefault="0060223F" w:rsidP="009250D6">
            <w:pPr>
              <w:jc w:val="center"/>
              <w:rPr>
                <w:rFonts w:ascii="Verdana" w:hAnsi="Verdana"/>
                <w:sz w:val="18"/>
              </w:rPr>
            </w:pPr>
          </w:p>
        </w:tc>
      </w:tr>
      <w:tr w:rsidR="0060223F" w:rsidRPr="00791489" w14:paraId="6907CC10" w14:textId="343475FE" w:rsidTr="00EA2AC2">
        <w:tc>
          <w:tcPr>
            <w:tcW w:w="421" w:type="dxa"/>
            <w:tcMar>
              <w:top w:w="28" w:type="dxa"/>
              <w:left w:w="28" w:type="dxa"/>
              <w:bottom w:w="28" w:type="dxa"/>
              <w:right w:w="57" w:type="dxa"/>
            </w:tcMar>
            <w:vAlign w:val="center"/>
          </w:tcPr>
          <w:p w14:paraId="01883DFD" w14:textId="77777777" w:rsidR="0060223F" w:rsidRPr="00791489" w:rsidRDefault="0060223F" w:rsidP="00D77CED">
            <w:pPr>
              <w:spacing w:before="120" w:after="120"/>
              <w:jc w:val="right"/>
              <w:rPr>
                <w:rFonts w:ascii="Verdana" w:hAnsi="Verdana"/>
                <w:sz w:val="18"/>
              </w:rPr>
            </w:pPr>
          </w:p>
        </w:tc>
        <w:tc>
          <w:tcPr>
            <w:tcW w:w="992" w:type="dxa"/>
          </w:tcPr>
          <w:p w14:paraId="0A0383BC" w14:textId="37E90597" w:rsidR="0060223F" w:rsidRPr="00791489" w:rsidRDefault="0060223F" w:rsidP="00D77CED">
            <w:pPr>
              <w:spacing w:before="120" w:after="120"/>
              <w:jc w:val="right"/>
              <w:rPr>
                <w:rFonts w:ascii="Verdana" w:hAnsi="Verdana"/>
                <w:sz w:val="18"/>
              </w:rPr>
            </w:pPr>
            <w:r w:rsidRPr="00791489">
              <w:rPr>
                <w:rFonts w:ascii="Verdana" w:hAnsi="Verdana"/>
                <w:sz w:val="18"/>
              </w:rPr>
              <w:t>(c)</w:t>
            </w:r>
          </w:p>
        </w:tc>
        <w:tc>
          <w:tcPr>
            <w:tcW w:w="5528" w:type="dxa"/>
          </w:tcPr>
          <w:p w14:paraId="43E17C2B" w14:textId="6330D619" w:rsidR="0060223F" w:rsidRPr="00791489" w:rsidRDefault="0060223F" w:rsidP="00D77CED">
            <w:pPr>
              <w:spacing w:before="120" w:after="120"/>
              <w:rPr>
                <w:rFonts w:ascii="Verdana" w:hAnsi="Verdana"/>
                <w:sz w:val="18"/>
              </w:rPr>
            </w:pPr>
            <w:r w:rsidRPr="00791489">
              <w:rPr>
                <w:rFonts w:ascii="Verdana" w:hAnsi="Verdana"/>
                <w:sz w:val="18"/>
              </w:rPr>
              <w:t>when a CDR consumer complaint can be made;</w:t>
            </w:r>
          </w:p>
        </w:tc>
        <w:tc>
          <w:tcPr>
            <w:tcW w:w="5103" w:type="dxa"/>
          </w:tcPr>
          <w:p w14:paraId="36856ED2" w14:textId="77777777" w:rsidR="00EA2AC2" w:rsidRDefault="00EA2AC2" w:rsidP="00EA2AC2">
            <w:pPr>
              <w:spacing w:before="120" w:after="120"/>
              <w:rPr>
                <w:rFonts w:ascii="Verdana" w:hAnsi="Verdana"/>
                <w:sz w:val="18"/>
              </w:rPr>
            </w:pPr>
            <w:r>
              <w:rPr>
                <w:rFonts w:ascii="Verdana" w:hAnsi="Verdana"/>
                <w:sz w:val="18"/>
              </w:rPr>
              <w:t xml:space="preserve">Consider emulating existing AFCA dispute resolution </w:t>
            </w:r>
            <w:r w:rsidRPr="00791489">
              <w:rPr>
                <w:rFonts w:ascii="Verdana" w:hAnsi="Verdana"/>
                <w:sz w:val="18"/>
              </w:rPr>
              <w:t>scheme and align process</w:t>
            </w:r>
            <w:r>
              <w:rPr>
                <w:rFonts w:ascii="Verdana" w:hAnsi="Verdana"/>
                <w:sz w:val="18"/>
              </w:rPr>
              <w:t xml:space="preserve">es.  </w:t>
            </w:r>
          </w:p>
          <w:p w14:paraId="06613F68" w14:textId="255AF72A" w:rsidR="0060223F" w:rsidRDefault="00EA2AC2" w:rsidP="00D77CED">
            <w:pPr>
              <w:spacing w:before="120" w:after="120"/>
              <w:rPr>
                <w:rFonts w:ascii="Verdana" w:hAnsi="Verdana"/>
                <w:sz w:val="18"/>
              </w:rPr>
            </w:pPr>
            <w:r>
              <w:rPr>
                <w:rFonts w:ascii="Verdana" w:hAnsi="Verdana"/>
                <w:sz w:val="18"/>
              </w:rPr>
              <w:t>Likely to be at one of our locations</w:t>
            </w:r>
            <w:r w:rsidR="0060223F" w:rsidRPr="007F427C">
              <w:rPr>
                <w:rFonts w:ascii="Verdana" w:hAnsi="Verdana"/>
                <w:sz w:val="18"/>
              </w:rPr>
              <w:t xml:space="preserve"> or via phone during business hours, or online via the web and application form 24/7</w:t>
            </w:r>
          </w:p>
          <w:p w14:paraId="3C65524A" w14:textId="7FC619DD" w:rsidR="0060223F" w:rsidRPr="00791489" w:rsidRDefault="00EA2AC2" w:rsidP="00D77CED">
            <w:pPr>
              <w:spacing w:before="120" w:after="120"/>
              <w:rPr>
                <w:rFonts w:ascii="Verdana" w:hAnsi="Verdana"/>
                <w:sz w:val="18"/>
              </w:rPr>
            </w:pPr>
            <w:r>
              <w:rPr>
                <w:rFonts w:ascii="Verdana" w:hAnsi="Verdana"/>
                <w:sz w:val="18"/>
              </w:rPr>
              <w:t xml:space="preserve">Consider having a dedicated </w:t>
            </w:r>
            <w:r w:rsidR="0060223F">
              <w:rPr>
                <w:rFonts w:ascii="Verdana" w:hAnsi="Verdana"/>
                <w:sz w:val="18"/>
              </w:rPr>
              <w:t>Feedback and Complaints section on the public website.</w:t>
            </w:r>
          </w:p>
        </w:tc>
        <w:tc>
          <w:tcPr>
            <w:tcW w:w="1134" w:type="dxa"/>
            <w:shd w:val="clear" w:color="auto" w:fill="auto"/>
            <w:vAlign w:val="center"/>
          </w:tcPr>
          <w:p w14:paraId="1612C477" w14:textId="0CA0DC2E" w:rsidR="0060223F" w:rsidRPr="00791489" w:rsidRDefault="0060223F" w:rsidP="00D77CED">
            <w:pPr>
              <w:jc w:val="center"/>
              <w:rPr>
                <w:rFonts w:ascii="Verdana" w:hAnsi="Verdana"/>
                <w:sz w:val="18"/>
              </w:rPr>
            </w:pPr>
          </w:p>
        </w:tc>
        <w:tc>
          <w:tcPr>
            <w:tcW w:w="1134" w:type="dxa"/>
            <w:shd w:val="clear" w:color="auto" w:fill="auto"/>
            <w:vAlign w:val="center"/>
          </w:tcPr>
          <w:p w14:paraId="5B9F6857" w14:textId="6DDB2ED7" w:rsidR="0060223F" w:rsidRPr="00791489" w:rsidRDefault="0060223F" w:rsidP="00D77CED">
            <w:pPr>
              <w:jc w:val="center"/>
              <w:rPr>
                <w:rFonts w:ascii="Verdana" w:hAnsi="Verdana"/>
                <w:sz w:val="18"/>
              </w:rPr>
            </w:pPr>
          </w:p>
        </w:tc>
      </w:tr>
      <w:tr w:rsidR="0060223F" w:rsidRPr="00791489" w14:paraId="2CA42ED3" w14:textId="56D863AA" w:rsidTr="00EA2AC2">
        <w:tc>
          <w:tcPr>
            <w:tcW w:w="421" w:type="dxa"/>
            <w:tcMar>
              <w:top w:w="28" w:type="dxa"/>
              <w:left w:w="28" w:type="dxa"/>
              <w:bottom w:w="28" w:type="dxa"/>
              <w:right w:w="57" w:type="dxa"/>
            </w:tcMar>
            <w:vAlign w:val="center"/>
          </w:tcPr>
          <w:p w14:paraId="4932B3A4" w14:textId="77777777" w:rsidR="0060223F" w:rsidRPr="00791489" w:rsidRDefault="0060223F" w:rsidP="009250D6">
            <w:pPr>
              <w:spacing w:before="120" w:after="120"/>
              <w:jc w:val="right"/>
              <w:rPr>
                <w:rFonts w:ascii="Verdana" w:hAnsi="Verdana"/>
                <w:sz w:val="18"/>
              </w:rPr>
            </w:pPr>
          </w:p>
        </w:tc>
        <w:tc>
          <w:tcPr>
            <w:tcW w:w="992" w:type="dxa"/>
          </w:tcPr>
          <w:p w14:paraId="5690FC2C" w14:textId="62BEB500" w:rsidR="0060223F" w:rsidRPr="00791489" w:rsidRDefault="0060223F" w:rsidP="009250D6">
            <w:pPr>
              <w:spacing w:before="120" w:after="120"/>
              <w:jc w:val="right"/>
              <w:rPr>
                <w:rFonts w:ascii="Verdana" w:hAnsi="Verdana"/>
                <w:sz w:val="18"/>
              </w:rPr>
            </w:pPr>
            <w:r w:rsidRPr="00791489">
              <w:rPr>
                <w:rFonts w:ascii="Verdana" w:hAnsi="Verdana"/>
                <w:sz w:val="18"/>
              </w:rPr>
              <w:t>(d)</w:t>
            </w:r>
          </w:p>
        </w:tc>
        <w:tc>
          <w:tcPr>
            <w:tcW w:w="5528" w:type="dxa"/>
          </w:tcPr>
          <w:p w14:paraId="132705FE" w14:textId="516EBD90" w:rsidR="0060223F" w:rsidRPr="00791489" w:rsidRDefault="0060223F" w:rsidP="009250D6">
            <w:pPr>
              <w:spacing w:before="120" w:after="120"/>
              <w:rPr>
                <w:rFonts w:ascii="Verdana" w:hAnsi="Verdana"/>
                <w:sz w:val="18"/>
              </w:rPr>
            </w:pPr>
            <w:r w:rsidRPr="00791489">
              <w:rPr>
                <w:rFonts w:ascii="Verdana" w:hAnsi="Verdana"/>
                <w:sz w:val="18"/>
              </w:rPr>
              <w:t>when acknowledgement of a CDR consumer complaint can be expected;</w:t>
            </w:r>
          </w:p>
        </w:tc>
        <w:tc>
          <w:tcPr>
            <w:tcW w:w="5103" w:type="dxa"/>
          </w:tcPr>
          <w:p w14:paraId="3BF42DFC" w14:textId="6028F295" w:rsidR="0060223F" w:rsidRDefault="00EA2AC2" w:rsidP="009250D6">
            <w:pPr>
              <w:spacing w:before="120" w:after="120"/>
              <w:rPr>
                <w:rFonts w:ascii="Verdana" w:hAnsi="Verdana"/>
                <w:sz w:val="18"/>
              </w:rPr>
            </w:pPr>
            <w:r>
              <w:rPr>
                <w:rFonts w:ascii="Verdana" w:hAnsi="Verdana"/>
                <w:sz w:val="18"/>
              </w:rPr>
              <w:t xml:space="preserve">Consider emulating existing AFCA dispute resolution </w:t>
            </w:r>
            <w:r w:rsidRPr="00791489">
              <w:rPr>
                <w:rFonts w:ascii="Verdana" w:hAnsi="Verdana"/>
                <w:sz w:val="18"/>
              </w:rPr>
              <w:t>scheme and align process</w:t>
            </w:r>
            <w:r>
              <w:rPr>
                <w:rFonts w:ascii="Verdana" w:hAnsi="Verdana"/>
                <w:sz w:val="18"/>
              </w:rPr>
              <w:t xml:space="preserve">es </w:t>
            </w:r>
            <w:r w:rsidR="0060223F" w:rsidRPr="00791489">
              <w:rPr>
                <w:rFonts w:ascii="Verdana" w:hAnsi="Verdana"/>
                <w:sz w:val="18"/>
              </w:rPr>
              <w:t>unless the rules determine timeframes</w:t>
            </w:r>
            <w:r>
              <w:rPr>
                <w:rFonts w:ascii="Verdana" w:hAnsi="Verdana"/>
                <w:sz w:val="18"/>
              </w:rPr>
              <w:t>,</w:t>
            </w:r>
          </w:p>
          <w:p w14:paraId="37A16200" w14:textId="40362BFF" w:rsidR="0060223F" w:rsidRPr="0058344A" w:rsidRDefault="0060223F" w:rsidP="0058344A">
            <w:pPr>
              <w:rPr>
                <w:rFonts w:ascii="Verdana" w:hAnsi="Verdana"/>
                <w:sz w:val="18"/>
              </w:rPr>
            </w:pPr>
            <w:r w:rsidRPr="0058344A">
              <w:rPr>
                <w:rFonts w:ascii="Verdana" w:hAnsi="Verdana"/>
                <w:sz w:val="18"/>
              </w:rPr>
              <w:t xml:space="preserve">CDR policy should refer to </w:t>
            </w:r>
            <w:r w:rsidR="00EA2AC2">
              <w:rPr>
                <w:rFonts w:ascii="Verdana" w:hAnsi="Verdana"/>
                <w:sz w:val="18"/>
              </w:rPr>
              <w:t>our</w:t>
            </w:r>
            <w:r w:rsidRPr="0058344A">
              <w:rPr>
                <w:rFonts w:ascii="Verdana" w:hAnsi="Verdana"/>
                <w:sz w:val="18"/>
              </w:rPr>
              <w:t xml:space="preserve"> Internal Dispute Resolution Process which specifies that complaints will be resolved as quickly as possible however specifies required notices to be issued at 5 days, 21 days and 45 days. </w:t>
            </w:r>
          </w:p>
          <w:p w14:paraId="5B1DAB3A" w14:textId="64A1AE97" w:rsidR="0060223F" w:rsidRPr="00791489" w:rsidRDefault="0060223F" w:rsidP="0058344A">
            <w:pPr>
              <w:spacing w:before="120" w:after="120"/>
              <w:rPr>
                <w:rFonts w:ascii="Verdana" w:hAnsi="Verdana"/>
                <w:sz w:val="18"/>
              </w:rPr>
            </w:pPr>
            <w:r w:rsidRPr="0058344A">
              <w:rPr>
                <w:rFonts w:ascii="Verdana" w:hAnsi="Verdana"/>
                <w:sz w:val="18"/>
              </w:rPr>
              <w:lastRenderedPageBreak/>
              <w:t>CDR Rules do not express a required timeframe, but reporting requires a report on the number of complaints resolved within 5 days</w:t>
            </w:r>
            <w:r>
              <w:rPr>
                <w:rFonts w:ascii="Verdana" w:hAnsi="Verdana"/>
                <w:sz w:val="18"/>
              </w:rPr>
              <w:t>.</w:t>
            </w:r>
          </w:p>
        </w:tc>
        <w:tc>
          <w:tcPr>
            <w:tcW w:w="1134" w:type="dxa"/>
            <w:shd w:val="clear" w:color="auto" w:fill="auto"/>
            <w:vAlign w:val="center"/>
          </w:tcPr>
          <w:p w14:paraId="1C3EB4A0" w14:textId="0DF3D143" w:rsidR="0060223F" w:rsidRPr="00791489" w:rsidRDefault="0060223F" w:rsidP="009250D6">
            <w:pPr>
              <w:jc w:val="center"/>
              <w:rPr>
                <w:rFonts w:ascii="Verdana" w:hAnsi="Verdana"/>
                <w:sz w:val="18"/>
              </w:rPr>
            </w:pPr>
          </w:p>
        </w:tc>
        <w:tc>
          <w:tcPr>
            <w:tcW w:w="1134" w:type="dxa"/>
            <w:shd w:val="clear" w:color="auto" w:fill="auto"/>
            <w:vAlign w:val="center"/>
          </w:tcPr>
          <w:p w14:paraId="46744BB8" w14:textId="7942AD00" w:rsidR="0060223F" w:rsidRPr="00791489" w:rsidRDefault="0060223F" w:rsidP="009250D6">
            <w:pPr>
              <w:jc w:val="center"/>
              <w:rPr>
                <w:rFonts w:ascii="Verdana" w:hAnsi="Verdana"/>
                <w:sz w:val="18"/>
              </w:rPr>
            </w:pPr>
          </w:p>
        </w:tc>
      </w:tr>
      <w:tr w:rsidR="0060223F" w:rsidRPr="00791489" w14:paraId="44A5DE5B" w14:textId="48F56EB8" w:rsidTr="00EA2AC2">
        <w:tc>
          <w:tcPr>
            <w:tcW w:w="421" w:type="dxa"/>
            <w:tcMar>
              <w:top w:w="28" w:type="dxa"/>
              <w:left w:w="28" w:type="dxa"/>
              <w:bottom w:w="28" w:type="dxa"/>
              <w:right w:w="57" w:type="dxa"/>
            </w:tcMar>
            <w:vAlign w:val="center"/>
          </w:tcPr>
          <w:p w14:paraId="7B0C90B4" w14:textId="77777777" w:rsidR="0060223F" w:rsidRPr="00791489" w:rsidRDefault="0060223F" w:rsidP="009250D6">
            <w:pPr>
              <w:spacing w:before="120" w:after="120"/>
              <w:jc w:val="right"/>
              <w:rPr>
                <w:rFonts w:ascii="Verdana" w:hAnsi="Verdana"/>
                <w:sz w:val="18"/>
              </w:rPr>
            </w:pPr>
          </w:p>
        </w:tc>
        <w:tc>
          <w:tcPr>
            <w:tcW w:w="992" w:type="dxa"/>
          </w:tcPr>
          <w:p w14:paraId="0AA34617" w14:textId="39227C6F" w:rsidR="0060223F" w:rsidRPr="00791489" w:rsidRDefault="0060223F" w:rsidP="009250D6">
            <w:pPr>
              <w:spacing w:before="120" w:after="120"/>
              <w:jc w:val="right"/>
              <w:rPr>
                <w:rFonts w:ascii="Verdana" w:hAnsi="Verdana"/>
                <w:sz w:val="18"/>
              </w:rPr>
            </w:pPr>
            <w:r w:rsidRPr="00791489">
              <w:rPr>
                <w:rFonts w:ascii="Verdana" w:hAnsi="Verdana"/>
                <w:sz w:val="18"/>
              </w:rPr>
              <w:t>(e)</w:t>
            </w:r>
          </w:p>
        </w:tc>
        <w:tc>
          <w:tcPr>
            <w:tcW w:w="5528" w:type="dxa"/>
          </w:tcPr>
          <w:p w14:paraId="34C49C86" w14:textId="0F7AEC0A" w:rsidR="0060223F" w:rsidRPr="00791489" w:rsidRDefault="0060223F" w:rsidP="009250D6">
            <w:pPr>
              <w:spacing w:before="120" w:after="120"/>
              <w:rPr>
                <w:rFonts w:ascii="Verdana" w:hAnsi="Verdana"/>
                <w:sz w:val="18"/>
              </w:rPr>
            </w:pPr>
            <w:r w:rsidRPr="00791489">
              <w:rPr>
                <w:rFonts w:ascii="Verdana" w:hAnsi="Verdana"/>
                <w:sz w:val="18"/>
              </w:rPr>
              <w:t>what information is required to be provided by the complainant</w:t>
            </w:r>
          </w:p>
        </w:tc>
        <w:tc>
          <w:tcPr>
            <w:tcW w:w="5103" w:type="dxa"/>
          </w:tcPr>
          <w:p w14:paraId="75B5950C" w14:textId="51DDC227" w:rsidR="0060223F" w:rsidRPr="00791489" w:rsidRDefault="00EA2AC2" w:rsidP="009250D6">
            <w:pPr>
              <w:spacing w:before="120" w:after="120"/>
              <w:rPr>
                <w:rFonts w:ascii="Verdana" w:hAnsi="Verdana"/>
                <w:sz w:val="18"/>
              </w:rPr>
            </w:pPr>
            <w:r>
              <w:rPr>
                <w:rFonts w:ascii="Verdana" w:hAnsi="Verdana"/>
                <w:sz w:val="18"/>
              </w:rPr>
              <w:t>Consider using a statement such as “</w:t>
            </w:r>
            <w:r w:rsidR="0060223F" w:rsidRPr="008E278C">
              <w:rPr>
                <w:rFonts w:ascii="Verdana" w:hAnsi="Verdana"/>
                <w:sz w:val="18"/>
              </w:rPr>
              <w:t>For the purpose of resolving your complaint we may ask for your personal information, including your name, contact information and the details of your complaint</w:t>
            </w:r>
            <w:r w:rsidR="0060223F">
              <w:rPr>
                <w:rFonts w:ascii="Verdana" w:hAnsi="Verdana"/>
                <w:sz w:val="18"/>
              </w:rPr>
              <w:t>”</w:t>
            </w:r>
          </w:p>
        </w:tc>
        <w:tc>
          <w:tcPr>
            <w:tcW w:w="1134" w:type="dxa"/>
            <w:shd w:val="clear" w:color="auto" w:fill="auto"/>
            <w:vAlign w:val="center"/>
          </w:tcPr>
          <w:p w14:paraId="5223DB6E" w14:textId="6FDFA38F" w:rsidR="0060223F" w:rsidRPr="00791489" w:rsidRDefault="0060223F" w:rsidP="009250D6">
            <w:pPr>
              <w:jc w:val="center"/>
              <w:rPr>
                <w:rFonts w:ascii="Verdana" w:hAnsi="Verdana"/>
                <w:sz w:val="18"/>
              </w:rPr>
            </w:pPr>
          </w:p>
        </w:tc>
        <w:tc>
          <w:tcPr>
            <w:tcW w:w="1134" w:type="dxa"/>
            <w:shd w:val="clear" w:color="auto" w:fill="auto"/>
            <w:vAlign w:val="center"/>
          </w:tcPr>
          <w:p w14:paraId="0AA56CF4" w14:textId="043E94D0" w:rsidR="0060223F" w:rsidRPr="00791489" w:rsidRDefault="0060223F" w:rsidP="009250D6">
            <w:pPr>
              <w:jc w:val="center"/>
              <w:rPr>
                <w:rFonts w:ascii="Verdana" w:hAnsi="Verdana"/>
                <w:sz w:val="18"/>
              </w:rPr>
            </w:pPr>
          </w:p>
        </w:tc>
      </w:tr>
      <w:tr w:rsidR="0060223F" w:rsidRPr="00791489" w14:paraId="28F77DC8" w14:textId="0E94CCCD" w:rsidTr="00EA2AC2">
        <w:tc>
          <w:tcPr>
            <w:tcW w:w="421" w:type="dxa"/>
            <w:tcMar>
              <w:top w:w="28" w:type="dxa"/>
              <w:left w:w="28" w:type="dxa"/>
              <w:bottom w:w="28" w:type="dxa"/>
              <w:right w:w="57" w:type="dxa"/>
            </w:tcMar>
            <w:vAlign w:val="center"/>
          </w:tcPr>
          <w:p w14:paraId="37E39F63" w14:textId="77777777" w:rsidR="0060223F" w:rsidRPr="00791489" w:rsidRDefault="0060223F" w:rsidP="009250D6">
            <w:pPr>
              <w:spacing w:before="120" w:after="120"/>
              <w:jc w:val="right"/>
              <w:rPr>
                <w:rFonts w:ascii="Verdana" w:hAnsi="Verdana"/>
                <w:sz w:val="18"/>
              </w:rPr>
            </w:pPr>
          </w:p>
        </w:tc>
        <w:tc>
          <w:tcPr>
            <w:tcW w:w="992" w:type="dxa"/>
          </w:tcPr>
          <w:p w14:paraId="7CF2D8D5" w14:textId="2C183630" w:rsidR="0060223F" w:rsidRPr="00791489" w:rsidRDefault="0060223F" w:rsidP="009250D6">
            <w:pPr>
              <w:spacing w:before="120" w:after="120"/>
              <w:jc w:val="right"/>
              <w:rPr>
                <w:rFonts w:ascii="Verdana" w:hAnsi="Verdana"/>
                <w:sz w:val="18"/>
              </w:rPr>
            </w:pPr>
            <w:r w:rsidRPr="00791489">
              <w:rPr>
                <w:rFonts w:ascii="Verdana" w:hAnsi="Verdana"/>
                <w:sz w:val="18"/>
              </w:rPr>
              <w:t>(f)</w:t>
            </w:r>
          </w:p>
        </w:tc>
        <w:tc>
          <w:tcPr>
            <w:tcW w:w="5528" w:type="dxa"/>
          </w:tcPr>
          <w:p w14:paraId="0B7562FC" w14:textId="44415375" w:rsidR="0060223F" w:rsidRPr="00791489" w:rsidRDefault="0060223F" w:rsidP="009250D6">
            <w:pPr>
              <w:spacing w:before="120" w:after="120"/>
              <w:rPr>
                <w:rFonts w:ascii="Verdana" w:hAnsi="Verdana"/>
                <w:sz w:val="18"/>
              </w:rPr>
            </w:pPr>
            <w:r w:rsidRPr="00791489">
              <w:rPr>
                <w:rFonts w:ascii="Verdana" w:hAnsi="Verdana"/>
                <w:sz w:val="18"/>
              </w:rPr>
              <w:t>the participant's process for handling CDR consumer complaints;</w:t>
            </w:r>
          </w:p>
        </w:tc>
        <w:tc>
          <w:tcPr>
            <w:tcW w:w="5103" w:type="dxa"/>
          </w:tcPr>
          <w:p w14:paraId="783FC14E" w14:textId="77777777" w:rsidR="00EA2AC2" w:rsidRDefault="00EA2AC2" w:rsidP="00EA2AC2">
            <w:pPr>
              <w:spacing w:before="120" w:after="120"/>
              <w:rPr>
                <w:rFonts w:ascii="Verdana" w:hAnsi="Verdana"/>
                <w:sz w:val="18"/>
              </w:rPr>
            </w:pPr>
            <w:r>
              <w:rPr>
                <w:rFonts w:ascii="Verdana" w:hAnsi="Verdana"/>
                <w:sz w:val="18"/>
              </w:rPr>
              <w:t xml:space="preserve">Consider emulating existing AFCA dispute resolution </w:t>
            </w:r>
            <w:r w:rsidRPr="00791489">
              <w:rPr>
                <w:rFonts w:ascii="Verdana" w:hAnsi="Verdana"/>
                <w:sz w:val="18"/>
              </w:rPr>
              <w:t>scheme and align process</w:t>
            </w:r>
            <w:r>
              <w:rPr>
                <w:rFonts w:ascii="Verdana" w:hAnsi="Verdana"/>
                <w:sz w:val="18"/>
              </w:rPr>
              <w:t xml:space="preserve">es. </w:t>
            </w:r>
          </w:p>
          <w:p w14:paraId="31631DE9" w14:textId="45F933A2" w:rsidR="0060223F" w:rsidRPr="00791489" w:rsidRDefault="00EA2AC2" w:rsidP="00EA2AC2">
            <w:pPr>
              <w:spacing w:before="120" w:after="120"/>
              <w:rPr>
                <w:rFonts w:ascii="Verdana" w:hAnsi="Verdana"/>
                <w:sz w:val="18"/>
              </w:rPr>
            </w:pPr>
            <w:r>
              <w:rPr>
                <w:rFonts w:ascii="Verdana" w:hAnsi="Verdana"/>
                <w:sz w:val="18"/>
              </w:rPr>
              <w:t>Update complaints handling documentation on public website to reference CDR complaints.</w:t>
            </w:r>
          </w:p>
        </w:tc>
        <w:tc>
          <w:tcPr>
            <w:tcW w:w="1134" w:type="dxa"/>
            <w:shd w:val="clear" w:color="auto" w:fill="auto"/>
            <w:vAlign w:val="center"/>
          </w:tcPr>
          <w:p w14:paraId="427F4E9C" w14:textId="222CD70A" w:rsidR="0060223F" w:rsidRPr="00791489" w:rsidRDefault="0060223F" w:rsidP="009250D6">
            <w:pPr>
              <w:jc w:val="center"/>
              <w:rPr>
                <w:rFonts w:ascii="Verdana" w:hAnsi="Verdana"/>
                <w:sz w:val="18"/>
              </w:rPr>
            </w:pPr>
          </w:p>
        </w:tc>
        <w:tc>
          <w:tcPr>
            <w:tcW w:w="1134" w:type="dxa"/>
            <w:shd w:val="clear" w:color="auto" w:fill="auto"/>
            <w:vAlign w:val="center"/>
          </w:tcPr>
          <w:p w14:paraId="7D818A1E" w14:textId="7192A766" w:rsidR="0060223F" w:rsidRPr="00791489" w:rsidRDefault="0060223F" w:rsidP="009250D6">
            <w:pPr>
              <w:jc w:val="center"/>
              <w:rPr>
                <w:rFonts w:ascii="Verdana" w:hAnsi="Verdana"/>
                <w:sz w:val="18"/>
              </w:rPr>
            </w:pPr>
          </w:p>
        </w:tc>
      </w:tr>
      <w:tr w:rsidR="0060223F" w:rsidRPr="00791489" w14:paraId="7BD58399" w14:textId="4CDBB12C" w:rsidTr="00EA2AC2">
        <w:tc>
          <w:tcPr>
            <w:tcW w:w="421" w:type="dxa"/>
            <w:tcMar>
              <w:top w:w="28" w:type="dxa"/>
              <w:left w:w="28" w:type="dxa"/>
              <w:bottom w:w="28" w:type="dxa"/>
              <w:right w:w="57" w:type="dxa"/>
            </w:tcMar>
            <w:vAlign w:val="center"/>
          </w:tcPr>
          <w:p w14:paraId="1E38470E" w14:textId="77777777" w:rsidR="0060223F" w:rsidRPr="00791489" w:rsidRDefault="0060223F" w:rsidP="009E7B58">
            <w:pPr>
              <w:spacing w:before="120" w:after="120"/>
              <w:jc w:val="right"/>
              <w:rPr>
                <w:rFonts w:ascii="Verdana" w:hAnsi="Verdana"/>
                <w:sz w:val="18"/>
              </w:rPr>
            </w:pPr>
          </w:p>
        </w:tc>
        <w:tc>
          <w:tcPr>
            <w:tcW w:w="992" w:type="dxa"/>
          </w:tcPr>
          <w:p w14:paraId="60DF5B69" w14:textId="32666B89" w:rsidR="0060223F" w:rsidRPr="00791489" w:rsidRDefault="0060223F" w:rsidP="009E7B58">
            <w:pPr>
              <w:spacing w:before="120" w:after="120"/>
              <w:jc w:val="right"/>
              <w:rPr>
                <w:rFonts w:ascii="Verdana" w:hAnsi="Verdana"/>
                <w:sz w:val="18"/>
              </w:rPr>
            </w:pPr>
            <w:r w:rsidRPr="00791489">
              <w:rPr>
                <w:rFonts w:ascii="Verdana" w:hAnsi="Verdana"/>
                <w:sz w:val="18"/>
              </w:rPr>
              <w:t>(g)</w:t>
            </w:r>
          </w:p>
        </w:tc>
        <w:tc>
          <w:tcPr>
            <w:tcW w:w="5528" w:type="dxa"/>
          </w:tcPr>
          <w:p w14:paraId="73C2C234" w14:textId="12D2FA12" w:rsidR="0060223F" w:rsidRPr="00791489" w:rsidRDefault="0060223F" w:rsidP="009E7B58">
            <w:pPr>
              <w:spacing w:before="120" w:after="120"/>
              <w:rPr>
                <w:rFonts w:ascii="Verdana" w:hAnsi="Verdana"/>
                <w:sz w:val="18"/>
              </w:rPr>
            </w:pPr>
            <w:r w:rsidRPr="00791489">
              <w:rPr>
                <w:rFonts w:ascii="Verdana" w:hAnsi="Verdana"/>
                <w:sz w:val="18"/>
              </w:rPr>
              <w:t>time periods associated with various stages in the CDR consumer complaint process;</w:t>
            </w:r>
          </w:p>
        </w:tc>
        <w:tc>
          <w:tcPr>
            <w:tcW w:w="5103" w:type="dxa"/>
          </w:tcPr>
          <w:p w14:paraId="777C4A1B" w14:textId="77777777" w:rsidR="00EA2AC2" w:rsidRDefault="00EA2AC2" w:rsidP="00EA2AC2">
            <w:pPr>
              <w:spacing w:before="120" w:after="120"/>
              <w:rPr>
                <w:rFonts w:ascii="Verdana" w:hAnsi="Verdana"/>
                <w:sz w:val="18"/>
              </w:rPr>
            </w:pPr>
            <w:r>
              <w:rPr>
                <w:rFonts w:ascii="Verdana" w:hAnsi="Verdana"/>
                <w:sz w:val="18"/>
              </w:rPr>
              <w:t xml:space="preserve">Consider emulating existing AFCA dispute resolution </w:t>
            </w:r>
            <w:r w:rsidRPr="00791489">
              <w:rPr>
                <w:rFonts w:ascii="Verdana" w:hAnsi="Verdana"/>
                <w:sz w:val="18"/>
              </w:rPr>
              <w:t>scheme and align process</w:t>
            </w:r>
            <w:r>
              <w:rPr>
                <w:rFonts w:ascii="Verdana" w:hAnsi="Verdana"/>
                <w:sz w:val="18"/>
              </w:rPr>
              <w:t xml:space="preserve">es. </w:t>
            </w:r>
          </w:p>
          <w:p w14:paraId="11A136C9" w14:textId="7633DC06" w:rsidR="0060223F" w:rsidRPr="00791489" w:rsidRDefault="00EA2AC2" w:rsidP="00EA2AC2">
            <w:pPr>
              <w:spacing w:before="120" w:after="120"/>
              <w:rPr>
                <w:rFonts w:ascii="Verdana" w:hAnsi="Verdana"/>
                <w:sz w:val="18"/>
              </w:rPr>
            </w:pPr>
            <w:r>
              <w:rPr>
                <w:rFonts w:ascii="Verdana" w:hAnsi="Verdana"/>
                <w:sz w:val="18"/>
              </w:rPr>
              <w:t>Update complaints handling documentation on public website to reference CDR complaints.</w:t>
            </w:r>
          </w:p>
        </w:tc>
        <w:tc>
          <w:tcPr>
            <w:tcW w:w="1134" w:type="dxa"/>
            <w:shd w:val="clear" w:color="auto" w:fill="auto"/>
            <w:vAlign w:val="center"/>
          </w:tcPr>
          <w:p w14:paraId="70BF7417" w14:textId="63709D34" w:rsidR="0060223F" w:rsidRPr="00791489" w:rsidRDefault="0060223F" w:rsidP="009E7B58">
            <w:pPr>
              <w:jc w:val="center"/>
              <w:rPr>
                <w:rFonts w:ascii="Verdana" w:hAnsi="Verdana"/>
                <w:sz w:val="18"/>
              </w:rPr>
            </w:pPr>
          </w:p>
        </w:tc>
        <w:tc>
          <w:tcPr>
            <w:tcW w:w="1134" w:type="dxa"/>
            <w:shd w:val="clear" w:color="auto" w:fill="auto"/>
            <w:vAlign w:val="center"/>
          </w:tcPr>
          <w:p w14:paraId="2328C08D" w14:textId="2D424C29" w:rsidR="0060223F" w:rsidRPr="00791489" w:rsidRDefault="0060223F" w:rsidP="009E7B58">
            <w:pPr>
              <w:jc w:val="center"/>
              <w:rPr>
                <w:rFonts w:ascii="Verdana" w:hAnsi="Verdana"/>
                <w:sz w:val="18"/>
              </w:rPr>
            </w:pPr>
          </w:p>
        </w:tc>
      </w:tr>
      <w:tr w:rsidR="0060223F" w:rsidRPr="00791489" w14:paraId="3CC8E47B" w14:textId="52D20262" w:rsidTr="00EA2AC2">
        <w:tc>
          <w:tcPr>
            <w:tcW w:w="421" w:type="dxa"/>
            <w:tcMar>
              <w:top w:w="28" w:type="dxa"/>
              <w:left w:w="28" w:type="dxa"/>
              <w:bottom w:w="28" w:type="dxa"/>
              <w:right w:w="57" w:type="dxa"/>
            </w:tcMar>
            <w:vAlign w:val="center"/>
          </w:tcPr>
          <w:p w14:paraId="63BE05F4" w14:textId="77777777" w:rsidR="0060223F" w:rsidRPr="00791489" w:rsidRDefault="0060223F" w:rsidP="009E7B58">
            <w:pPr>
              <w:spacing w:before="120" w:after="120"/>
              <w:jc w:val="right"/>
              <w:rPr>
                <w:rFonts w:ascii="Verdana" w:hAnsi="Verdana"/>
                <w:sz w:val="18"/>
              </w:rPr>
            </w:pPr>
          </w:p>
        </w:tc>
        <w:tc>
          <w:tcPr>
            <w:tcW w:w="992" w:type="dxa"/>
          </w:tcPr>
          <w:p w14:paraId="04593B02" w14:textId="700AA738" w:rsidR="0060223F" w:rsidRPr="00791489" w:rsidRDefault="0060223F" w:rsidP="009E7B58">
            <w:pPr>
              <w:spacing w:before="120" w:after="120"/>
              <w:jc w:val="right"/>
              <w:rPr>
                <w:rFonts w:ascii="Verdana" w:hAnsi="Verdana"/>
                <w:sz w:val="18"/>
              </w:rPr>
            </w:pPr>
            <w:r w:rsidRPr="00791489">
              <w:rPr>
                <w:rFonts w:ascii="Verdana" w:hAnsi="Verdana"/>
                <w:sz w:val="18"/>
              </w:rPr>
              <w:t>(h)</w:t>
            </w:r>
          </w:p>
        </w:tc>
        <w:tc>
          <w:tcPr>
            <w:tcW w:w="5528" w:type="dxa"/>
          </w:tcPr>
          <w:p w14:paraId="6E396250" w14:textId="16D2F42E" w:rsidR="0060223F" w:rsidRPr="00791489" w:rsidRDefault="0060223F" w:rsidP="009E7B58">
            <w:pPr>
              <w:spacing w:before="120" w:after="120"/>
              <w:rPr>
                <w:rFonts w:ascii="Verdana" w:hAnsi="Verdana"/>
                <w:sz w:val="18"/>
              </w:rPr>
            </w:pPr>
            <w:r w:rsidRPr="00791489">
              <w:rPr>
                <w:rFonts w:ascii="Verdana" w:hAnsi="Verdana"/>
                <w:sz w:val="18"/>
              </w:rPr>
              <w:t>options for redress;</w:t>
            </w:r>
          </w:p>
        </w:tc>
        <w:tc>
          <w:tcPr>
            <w:tcW w:w="5103" w:type="dxa"/>
          </w:tcPr>
          <w:p w14:paraId="2151EFCF" w14:textId="77777777" w:rsidR="00EA2AC2" w:rsidRDefault="00EA2AC2" w:rsidP="00EA2AC2">
            <w:pPr>
              <w:spacing w:before="120" w:after="120"/>
              <w:rPr>
                <w:rFonts w:ascii="Verdana" w:hAnsi="Verdana"/>
                <w:sz w:val="18"/>
              </w:rPr>
            </w:pPr>
            <w:r>
              <w:rPr>
                <w:rFonts w:ascii="Verdana" w:hAnsi="Verdana"/>
                <w:sz w:val="18"/>
              </w:rPr>
              <w:t xml:space="preserve">Consider emulating existing AFCA dispute resolution </w:t>
            </w:r>
            <w:r w:rsidRPr="00791489">
              <w:rPr>
                <w:rFonts w:ascii="Verdana" w:hAnsi="Verdana"/>
                <w:sz w:val="18"/>
              </w:rPr>
              <w:t>scheme and align process</w:t>
            </w:r>
            <w:r>
              <w:rPr>
                <w:rFonts w:ascii="Verdana" w:hAnsi="Verdana"/>
                <w:sz w:val="18"/>
              </w:rPr>
              <w:t xml:space="preserve">es. </w:t>
            </w:r>
          </w:p>
          <w:p w14:paraId="2A7D85CF" w14:textId="5F69ABBE" w:rsidR="0060223F" w:rsidRPr="00791489" w:rsidRDefault="00EA2AC2" w:rsidP="00EA2AC2">
            <w:pPr>
              <w:spacing w:before="120" w:after="120"/>
              <w:rPr>
                <w:rFonts w:ascii="Verdana" w:hAnsi="Verdana"/>
                <w:sz w:val="18"/>
              </w:rPr>
            </w:pPr>
            <w:r>
              <w:rPr>
                <w:rFonts w:ascii="Verdana" w:hAnsi="Verdana"/>
                <w:sz w:val="18"/>
              </w:rPr>
              <w:t>Update complaints handling documentation on public website to reference CDR complaints.</w:t>
            </w:r>
          </w:p>
        </w:tc>
        <w:tc>
          <w:tcPr>
            <w:tcW w:w="1134" w:type="dxa"/>
            <w:shd w:val="clear" w:color="auto" w:fill="auto"/>
            <w:vAlign w:val="center"/>
          </w:tcPr>
          <w:p w14:paraId="2C831BA9" w14:textId="60D27CE0" w:rsidR="0060223F" w:rsidRPr="00791489" w:rsidRDefault="0060223F" w:rsidP="009E7B58">
            <w:pPr>
              <w:jc w:val="center"/>
              <w:rPr>
                <w:rFonts w:ascii="Verdana" w:hAnsi="Verdana"/>
                <w:sz w:val="18"/>
              </w:rPr>
            </w:pPr>
          </w:p>
        </w:tc>
        <w:tc>
          <w:tcPr>
            <w:tcW w:w="1134" w:type="dxa"/>
            <w:shd w:val="clear" w:color="auto" w:fill="auto"/>
            <w:vAlign w:val="center"/>
          </w:tcPr>
          <w:p w14:paraId="5DB25785" w14:textId="724BCBB3" w:rsidR="0060223F" w:rsidRPr="00791489" w:rsidRDefault="0060223F" w:rsidP="009E7B58">
            <w:pPr>
              <w:jc w:val="center"/>
              <w:rPr>
                <w:rFonts w:ascii="Verdana" w:hAnsi="Verdana"/>
                <w:sz w:val="18"/>
              </w:rPr>
            </w:pPr>
          </w:p>
        </w:tc>
      </w:tr>
      <w:tr w:rsidR="0060223F" w:rsidRPr="00791489" w14:paraId="4632063C" w14:textId="455FCB26" w:rsidTr="00F30605">
        <w:tc>
          <w:tcPr>
            <w:tcW w:w="421" w:type="dxa"/>
            <w:tcMar>
              <w:top w:w="28" w:type="dxa"/>
              <w:left w:w="28" w:type="dxa"/>
              <w:bottom w:w="28" w:type="dxa"/>
              <w:right w:w="57" w:type="dxa"/>
            </w:tcMar>
            <w:vAlign w:val="center"/>
          </w:tcPr>
          <w:p w14:paraId="29CB0BAA" w14:textId="77777777" w:rsidR="0060223F" w:rsidRPr="00791489" w:rsidRDefault="0060223F" w:rsidP="009E7B58">
            <w:pPr>
              <w:spacing w:before="120" w:after="120"/>
              <w:jc w:val="right"/>
              <w:rPr>
                <w:rFonts w:ascii="Verdana" w:hAnsi="Verdana"/>
                <w:sz w:val="18"/>
              </w:rPr>
            </w:pPr>
          </w:p>
        </w:tc>
        <w:tc>
          <w:tcPr>
            <w:tcW w:w="992" w:type="dxa"/>
          </w:tcPr>
          <w:p w14:paraId="15E9F4AB" w14:textId="0BF7502A" w:rsidR="0060223F" w:rsidRPr="00791489" w:rsidRDefault="0060223F" w:rsidP="009E7B58">
            <w:pPr>
              <w:spacing w:before="120" w:after="120"/>
              <w:jc w:val="right"/>
              <w:rPr>
                <w:rFonts w:ascii="Verdana" w:hAnsi="Verdana"/>
                <w:sz w:val="18"/>
              </w:rPr>
            </w:pPr>
            <w:r w:rsidRPr="00791489">
              <w:rPr>
                <w:rFonts w:ascii="Verdana" w:hAnsi="Verdana"/>
                <w:sz w:val="18"/>
              </w:rPr>
              <w:t>(</w:t>
            </w:r>
            <w:proofErr w:type="spellStart"/>
            <w:r w:rsidRPr="00791489">
              <w:rPr>
                <w:rFonts w:ascii="Verdana" w:hAnsi="Verdana"/>
                <w:sz w:val="18"/>
              </w:rPr>
              <w:t>i</w:t>
            </w:r>
            <w:proofErr w:type="spellEnd"/>
            <w:r w:rsidRPr="00791489">
              <w:rPr>
                <w:rFonts w:ascii="Verdana" w:hAnsi="Verdana"/>
                <w:sz w:val="18"/>
              </w:rPr>
              <w:t>)</w:t>
            </w:r>
          </w:p>
        </w:tc>
        <w:tc>
          <w:tcPr>
            <w:tcW w:w="5528" w:type="dxa"/>
          </w:tcPr>
          <w:p w14:paraId="4B5C13EB" w14:textId="2940C2F0" w:rsidR="0060223F" w:rsidRPr="00791489" w:rsidRDefault="0060223F" w:rsidP="009E7B58">
            <w:pPr>
              <w:spacing w:before="120" w:after="120"/>
              <w:rPr>
                <w:rFonts w:ascii="Verdana" w:hAnsi="Verdana"/>
                <w:sz w:val="18"/>
              </w:rPr>
            </w:pPr>
            <w:r w:rsidRPr="00791489">
              <w:rPr>
                <w:rFonts w:ascii="Verdana" w:hAnsi="Verdana"/>
                <w:sz w:val="18"/>
              </w:rPr>
              <w:t>options for review, both internally (if available) and externally</w:t>
            </w:r>
          </w:p>
        </w:tc>
        <w:tc>
          <w:tcPr>
            <w:tcW w:w="5103" w:type="dxa"/>
          </w:tcPr>
          <w:p w14:paraId="0A799604" w14:textId="1EE570F2" w:rsidR="00EA2AC2" w:rsidRDefault="00EA2AC2" w:rsidP="00EA2AC2">
            <w:pPr>
              <w:spacing w:before="120" w:after="120"/>
              <w:rPr>
                <w:rFonts w:ascii="Verdana" w:hAnsi="Verdana"/>
                <w:sz w:val="18"/>
              </w:rPr>
            </w:pPr>
            <w:r>
              <w:rPr>
                <w:rFonts w:ascii="Verdana" w:hAnsi="Verdana"/>
                <w:sz w:val="18"/>
              </w:rPr>
              <w:t xml:space="preserve">Consider emulating existing AFCA dispute resolution </w:t>
            </w:r>
            <w:r w:rsidRPr="00791489">
              <w:rPr>
                <w:rFonts w:ascii="Verdana" w:hAnsi="Verdana"/>
                <w:sz w:val="18"/>
              </w:rPr>
              <w:t>scheme and align process</w:t>
            </w:r>
            <w:r>
              <w:rPr>
                <w:rFonts w:ascii="Verdana" w:hAnsi="Verdana"/>
                <w:sz w:val="18"/>
              </w:rPr>
              <w:t xml:space="preserve">es. </w:t>
            </w:r>
          </w:p>
          <w:p w14:paraId="2675095F" w14:textId="757CCE73" w:rsidR="0060223F" w:rsidRPr="00791489" w:rsidRDefault="00EA2AC2" w:rsidP="00EA2AC2">
            <w:pPr>
              <w:spacing w:before="120" w:after="120"/>
              <w:rPr>
                <w:rFonts w:ascii="Verdana" w:hAnsi="Verdana"/>
                <w:sz w:val="18"/>
              </w:rPr>
            </w:pPr>
            <w:r>
              <w:rPr>
                <w:rFonts w:ascii="Verdana" w:hAnsi="Verdana"/>
                <w:sz w:val="18"/>
              </w:rPr>
              <w:t>Update complaints handling documentation on public website to reference CDR complaints.</w:t>
            </w:r>
          </w:p>
        </w:tc>
        <w:tc>
          <w:tcPr>
            <w:tcW w:w="1134" w:type="dxa"/>
            <w:shd w:val="clear" w:color="auto" w:fill="auto"/>
            <w:vAlign w:val="center"/>
          </w:tcPr>
          <w:p w14:paraId="72F543AC" w14:textId="78B1BE7C" w:rsidR="0060223F" w:rsidRPr="00791489" w:rsidRDefault="0060223F" w:rsidP="009E7B58">
            <w:pPr>
              <w:jc w:val="center"/>
              <w:rPr>
                <w:rFonts w:ascii="Verdana" w:hAnsi="Verdana"/>
                <w:sz w:val="18"/>
              </w:rPr>
            </w:pPr>
          </w:p>
        </w:tc>
        <w:tc>
          <w:tcPr>
            <w:tcW w:w="1134" w:type="dxa"/>
            <w:shd w:val="clear" w:color="auto" w:fill="auto"/>
            <w:vAlign w:val="center"/>
          </w:tcPr>
          <w:p w14:paraId="07014BD9" w14:textId="632AB6C0" w:rsidR="0060223F" w:rsidRPr="00791489" w:rsidRDefault="0060223F" w:rsidP="009E7B58">
            <w:pPr>
              <w:jc w:val="center"/>
              <w:rPr>
                <w:rFonts w:ascii="Verdana" w:hAnsi="Verdana"/>
                <w:sz w:val="18"/>
              </w:rPr>
            </w:pPr>
          </w:p>
        </w:tc>
      </w:tr>
      <w:tr w:rsidR="0060223F" w:rsidRPr="00791489" w14:paraId="49C6FE47" w14:textId="72489C10" w:rsidTr="00F30605">
        <w:tc>
          <w:tcPr>
            <w:tcW w:w="421" w:type="dxa"/>
            <w:tcMar>
              <w:top w:w="28" w:type="dxa"/>
              <w:left w:w="28" w:type="dxa"/>
              <w:bottom w:w="28" w:type="dxa"/>
              <w:right w:w="57" w:type="dxa"/>
            </w:tcMar>
            <w:vAlign w:val="center"/>
          </w:tcPr>
          <w:p w14:paraId="1120F4F8" w14:textId="77777777" w:rsidR="0060223F" w:rsidRPr="00791489" w:rsidRDefault="0060223F" w:rsidP="00B26229">
            <w:pPr>
              <w:spacing w:before="120" w:after="120"/>
              <w:rPr>
                <w:rFonts w:ascii="Verdana" w:hAnsi="Verdana"/>
                <w:sz w:val="18"/>
              </w:rPr>
            </w:pPr>
          </w:p>
        </w:tc>
        <w:bookmarkEnd w:id="2"/>
        <w:tc>
          <w:tcPr>
            <w:tcW w:w="992" w:type="dxa"/>
          </w:tcPr>
          <w:p w14:paraId="0D6891F8" w14:textId="6D8B3945" w:rsidR="0060223F" w:rsidRPr="00791489" w:rsidRDefault="0060223F" w:rsidP="00B26229">
            <w:pPr>
              <w:spacing w:before="120" w:after="120"/>
              <w:rPr>
                <w:rFonts w:ascii="Verdana" w:hAnsi="Verdana"/>
                <w:sz w:val="18"/>
              </w:rPr>
            </w:pPr>
            <w:r w:rsidRPr="00791489">
              <w:rPr>
                <w:rFonts w:ascii="Verdana" w:hAnsi="Verdana"/>
                <w:sz w:val="18"/>
              </w:rPr>
              <w:t xml:space="preserve">Note </w:t>
            </w:r>
          </w:p>
        </w:tc>
        <w:tc>
          <w:tcPr>
            <w:tcW w:w="5528" w:type="dxa"/>
          </w:tcPr>
          <w:p w14:paraId="7FB483E6" w14:textId="72171897" w:rsidR="0060223F" w:rsidRPr="00791489" w:rsidRDefault="0060223F" w:rsidP="00B26229">
            <w:pPr>
              <w:spacing w:before="120" w:after="120"/>
              <w:rPr>
                <w:rFonts w:ascii="Verdana" w:hAnsi="Verdana"/>
                <w:sz w:val="18"/>
              </w:rPr>
            </w:pPr>
            <w:r w:rsidRPr="00791489">
              <w:rPr>
                <w:rFonts w:ascii="Verdana" w:hAnsi="Verdana"/>
                <w:sz w:val="18"/>
              </w:rPr>
              <w:t xml:space="preserve">This </w:t>
            </w:r>
            <w:proofErr w:type="spellStart"/>
            <w:r w:rsidRPr="00791489">
              <w:rPr>
                <w:rFonts w:ascii="Verdana" w:hAnsi="Verdana"/>
                <w:sz w:val="18"/>
              </w:rPr>
              <w:t>subrule</w:t>
            </w:r>
            <w:proofErr w:type="spellEnd"/>
            <w:r w:rsidRPr="00791489">
              <w:rPr>
                <w:rFonts w:ascii="Verdana" w:hAnsi="Verdana"/>
                <w:sz w:val="18"/>
              </w:rPr>
              <w:t xml:space="preserve"> is a civil penalty provision (see rule 9.8).</w:t>
            </w:r>
          </w:p>
        </w:tc>
        <w:tc>
          <w:tcPr>
            <w:tcW w:w="5103" w:type="dxa"/>
          </w:tcPr>
          <w:p w14:paraId="4B350038" w14:textId="14A5DE8E" w:rsidR="0060223F" w:rsidRPr="00791489" w:rsidRDefault="0060223F" w:rsidP="00B26229">
            <w:pPr>
              <w:spacing w:before="120" w:after="120"/>
              <w:rPr>
                <w:rFonts w:ascii="Verdana" w:hAnsi="Verdana"/>
                <w:sz w:val="18"/>
              </w:rPr>
            </w:pPr>
            <w:r>
              <w:rPr>
                <w:rFonts w:ascii="Verdana" w:hAnsi="Verdana"/>
                <w:sz w:val="18"/>
              </w:rPr>
              <w:t>Rule 9.8 lists all the clauses that have civil penalty provisions (within the meaning of the Regulatory Powers Act)</w:t>
            </w:r>
          </w:p>
        </w:tc>
        <w:tc>
          <w:tcPr>
            <w:tcW w:w="1134" w:type="dxa"/>
            <w:shd w:val="clear" w:color="auto" w:fill="auto"/>
            <w:vAlign w:val="center"/>
          </w:tcPr>
          <w:p w14:paraId="4B565350" w14:textId="55E599F9" w:rsidR="0060223F" w:rsidRPr="00791489" w:rsidRDefault="0060223F" w:rsidP="007669AE">
            <w:pPr>
              <w:jc w:val="center"/>
              <w:rPr>
                <w:rFonts w:ascii="Verdana" w:hAnsi="Verdana"/>
                <w:sz w:val="18"/>
              </w:rPr>
            </w:pPr>
          </w:p>
        </w:tc>
        <w:tc>
          <w:tcPr>
            <w:tcW w:w="1134" w:type="dxa"/>
            <w:shd w:val="clear" w:color="auto" w:fill="92D050"/>
            <w:vAlign w:val="center"/>
          </w:tcPr>
          <w:p w14:paraId="6698184F" w14:textId="318517D2" w:rsidR="0060223F" w:rsidRPr="00791489" w:rsidRDefault="0060223F" w:rsidP="009E7B58">
            <w:pPr>
              <w:jc w:val="center"/>
              <w:rPr>
                <w:rFonts w:ascii="Verdana" w:hAnsi="Verdana"/>
                <w:sz w:val="18"/>
              </w:rPr>
            </w:pPr>
            <w:r>
              <w:rPr>
                <w:rFonts w:ascii="Verdana" w:hAnsi="Verdana"/>
                <w:sz w:val="18"/>
              </w:rPr>
              <w:t>N/A</w:t>
            </w:r>
          </w:p>
        </w:tc>
      </w:tr>
      <w:tr w:rsidR="0060223F" w:rsidRPr="00791489" w14:paraId="49ADD506" w14:textId="31D570C1" w:rsidTr="00F30605">
        <w:tc>
          <w:tcPr>
            <w:tcW w:w="421" w:type="dxa"/>
            <w:tcMar>
              <w:top w:w="28" w:type="dxa"/>
              <w:left w:w="28" w:type="dxa"/>
              <w:bottom w:w="28" w:type="dxa"/>
              <w:right w:w="57" w:type="dxa"/>
            </w:tcMar>
            <w:vAlign w:val="center"/>
          </w:tcPr>
          <w:p w14:paraId="37C67C0E" w14:textId="1E4A5A71" w:rsidR="0060223F" w:rsidRPr="00A066D7" w:rsidRDefault="00F30605" w:rsidP="00B26229">
            <w:pPr>
              <w:spacing w:before="120" w:after="120"/>
              <w:rPr>
                <w:rFonts w:ascii="Verdana" w:hAnsi="Verdana"/>
                <w:b/>
                <w:sz w:val="18"/>
              </w:rPr>
            </w:pPr>
            <w:r>
              <w:rPr>
                <w:rFonts w:ascii="Verdana" w:hAnsi="Verdana"/>
                <w:b/>
                <w:noProof/>
                <w:sz w:val="18"/>
              </w:rPr>
              <w:lastRenderedPageBreak/>
              <w:drawing>
                <wp:inline distT="0" distB="0" distL="0" distR="0" wp14:anchorId="257C67EF" wp14:editId="30AC0F38">
                  <wp:extent cx="213360" cy="213360"/>
                  <wp:effectExtent l="0" t="0" r="0" b="0"/>
                  <wp:docPr id="21" name="Picture 2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4D98CA2C" w14:textId="38628CF6" w:rsidR="0060223F" w:rsidRPr="00A066D7" w:rsidRDefault="0060223F" w:rsidP="00B26229">
            <w:pPr>
              <w:spacing w:before="120" w:after="120"/>
              <w:rPr>
                <w:rFonts w:ascii="Verdana" w:hAnsi="Verdana"/>
                <w:b/>
                <w:sz w:val="18"/>
              </w:rPr>
            </w:pPr>
            <w:r w:rsidRPr="00A066D7">
              <w:rPr>
                <w:rFonts w:ascii="Verdana" w:hAnsi="Verdana"/>
                <w:b/>
                <w:sz w:val="18"/>
              </w:rPr>
              <w:t>Rules 7.2 (7)</w:t>
            </w:r>
          </w:p>
        </w:tc>
        <w:tc>
          <w:tcPr>
            <w:tcW w:w="5528" w:type="dxa"/>
          </w:tcPr>
          <w:p w14:paraId="7990E4FB" w14:textId="277D584D" w:rsidR="0060223F" w:rsidRPr="00791489" w:rsidRDefault="0060223F" w:rsidP="00B26229">
            <w:pPr>
              <w:spacing w:before="120" w:after="120"/>
              <w:rPr>
                <w:rFonts w:ascii="Verdana" w:hAnsi="Verdana"/>
                <w:sz w:val="18"/>
              </w:rPr>
            </w:pPr>
            <w:r w:rsidRPr="00791489">
              <w:rPr>
                <w:rFonts w:ascii="Verdana" w:hAnsi="Verdana"/>
                <w:sz w:val="18"/>
              </w:rPr>
              <w:t>If an accredited data recipient proposes to store CDR data other than in Australia or an external territory, its CDR policy must specify any country in which they propose to store CDR data.</w:t>
            </w:r>
          </w:p>
        </w:tc>
        <w:tc>
          <w:tcPr>
            <w:tcW w:w="5103" w:type="dxa"/>
          </w:tcPr>
          <w:p w14:paraId="76BDCF0D" w14:textId="13191050" w:rsidR="0060223F" w:rsidRDefault="00F30605" w:rsidP="00B26229">
            <w:pPr>
              <w:spacing w:before="120" w:after="120"/>
              <w:rPr>
                <w:rFonts w:ascii="Verdana" w:hAnsi="Verdana"/>
                <w:sz w:val="18"/>
              </w:rPr>
            </w:pPr>
            <w:r>
              <w:rPr>
                <w:rFonts w:ascii="Verdana" w:hAnsi="Verdana"/>
                <w:sz w:val="18"/>
              </w:rPr>
              <w:t xml:space="preserve">Provide a statement such as: </w:t>
            </w:r>
          </w:p>
          <w:p w14:paraId="46AD59B5" w14:textId="238DD45F" w:rsidR="0060223F" w:rsidRPr="000F41E8" w:rsidRDefault="0060223F" w:rsidP="00E26EBB">
            <w:pPr>
              <w:spacing w:before="120" w:after="120"/>
              <w:rPr>
                <w:rFonts w:ascii="Verdana" w:hAnsi="Verdana"/>
                <w:i/>
                <w:color w:val="231F20"/>
                <w:sz w:val="18"/>
              </w:rPr>
            </w:pPr>
            <w:r w:rsidRPr="000F41E8">
              <w:rPr>
                <w:rFonts w:ascii="Verdana" w:hAnsi="Verdana"/>
                <w:i/>
                <w:color w:val="231F20"/>
                <w:sz w:val="18"/>
              </w:rPr>
              <w:t xml:space="preserve">We do not use any overseas outsourced providers for CDR data activities. Your data will not leave Australia.  </w:t>
            </w:r>
            <w:r w:rsidRPr="000F41E8">
              <w:rPr>
                <w:rFonts w:ascii="Verdana" w:hAnsi="Verdana"/>
                <w:i/>
                <w:sz w:val="18"/>
              </w:rPr>
              <w:t xml:space="preserve"> </w:t>
            </w:r>
          </w:p>
        </w:tc>
        <w:tc>
          <w:tcPr>
            <w:tcW w:w="1134" w:type="dxa"/>
            <w:shd w:val="clear" w:color="auto" w:fill="auto"/>
            <w:vAlign w:val="center"/>
          </w:tcPr>
          <w:p w14:paraId="03575D95" w14:textId="0CD269BA" w:rsidR="0060223F" w:rsidRPr="00791489" w:rsidRDefault="0060223F" w:rsidP="00D640B3">
            <w:pPr>
              <w:jc w:val="center"/>
              <w:rPr>
                <w:rFonts w:ascii="Verdana" w:hAnsi="Verdana"/>
                <w:sz w:val="18"/>
              </w:rPr>
            </w:pPr>
          </w:p>
        </w:tc>
        <w:tc>
          <w:tcPr>
            <w:tcW w:w="1134" w:type="dxa"/>
            <w:shd w:val="clear" w:color="auto" w:fill="auto"/>
            <w:vAlign w:val="center"/>
          </w:tcPr>
          <w:p w14:paraId="64535AE7" w14:textId="6450DA45" w:rsidR="0060223F" w:rsidRPr="00791489" w:rsidRDefault="0060223F" w:rsidP="000F41E8">
            <w:pPr>
              <w:jc w:val="center"/>
              <w:rPr>
                <w:rFonts w:ascii="Verdana" w:hAnsi="Verdana"/>
                <w:sz w:val="18"/>
              </w:rPr>
            </w:pPr>
          </w:p>
        </w:tc>
      </w:tr>
      <w:tr w:rsidR="0060223F" w:rsidRPr="00791489" w14:paraId="0D6A5890" w14:textId="0174102C" w:rsidTr="00F30605">
        <w:tc>
          <w:tcPr>
            <w:tcW w:w="421" w:type="dxa"/>
            <w:tcMar>
              <w:top w:w="28" w:type="dxa"/>
              <w:left w:w="28" w:type="dxa"/>
              <w:bottom w:w="28" w:type="dxa"/>
              <w:right w:w="57" w:type="dxa"/>
            </w:tcMar>
            <w:vAlign w:val="center"/>
          </w:tcPr>
          <w:p w14:paraId="7DF97245" w14:textId="58986CDC" w:rsidR="0060223F" w:rsidRPr="00791489" w:rsidRDefault="00F30605" w:rsidP="000F41E8">
            <w:pPr>
              <w:spacing w:before="120" w:after="120"/>
              <w:rPr>
                <w:rFonts w:ascii="Verdana" w:hAnsi="Verdana"/>
                <w:sz w:val="18"/>
              </w:rPr>
            </w:pPr>
            <w:r>
              <w:rPr>
                <w:rFonts w:ascii="Verdana" w:hAnsi="Verdana"/>
                <w:b/>
                <w:noProof/>
                <w:sz w:val="18"/>
              </w:rPr>
              <w:drawing>
                <wp:inline distT="0" distB="0" distL="0" distR="0" wp14:anchorId="6A952656" wp14:editId="76EC9917">
                  <wp:extent cx="213360" cy="213360"/>
                  <wp:effectExtent l="0" t="0" r="0" b="0"/>
                  <wp:docPr id="22" name="Picture 2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992" w:type="dxa"/>
          </w:tcPr>
          <w:p w14:paraId="0C6353FC" w14:textId="5491F1E3" w:rsidR="0060223F" w:rsidRPr="00791489" w:rsidRDefault="0060223F" w:rsidP="000F41E8">
            <w:pPr>
              <w:spacing w:before="120" w:after="120"/>
              <w:rPr>
                <w:rFonts w:ascii="Verdana" w:hAnsi="Verdana"/>
                <w:sz w:val="18"/>
              </w:rPr>
            </w:pPr>
            <w:r w:rsidRPr="00791489">
              <w:rPr>
                <w:rFonts w:ascii="Verdana" w:hAnsi="Verdana"/>
                <w:sz w:val="18"/>
              </w:rPr>
              <w:t xml:space="preserve">Note </w:t>
            </w:r>
          </w:p>
        </w:tc>
        <w:tc>
          <w:tcPr>
            <w:tcW w:w="5528" w:type="dxa"/>
          </w:tcPr>
          <w:p w14:paraId="5999A07E" w14:textId="78439C00" w:rsidR="0060223F" w:rsidRPr="00791489" w:rsidRDefault="0060223F" w:rsidP="000F41E8">
            <w:pPr>
              <w:spacing w:before="120" w:after="120"/>
              <w:rPr>
                <w:rFonts w:ascii="Verdana" w:hAnsi="Verdana"/>
                <w:sz w:val="18"/>
              </w:rPr>
            </w:pPr>
            <w:r w:rsidRPr="00791489">
              <w:rPr>
                <w:rFonts w:ascii="Verdana" w:hAnsi="Verdana"/>
                <w:sz w:val="18"/>
              </w:rPr>
              <w:t xml:space="preserve">This </w:t>
            </w:r>
            <w:proofErr w:type="spellStart"/>
            <w:r w:rsidRPr="00791489">
              <w:rPr>
                <w:rFonts w:ascii="Verdana" w:hAnsi="Verdana"/>
                <w:sz w:val="18"/>
              </w:rPr>
              <w:t>subrule</w:t>
            </w:r>
            <w:proofErr w:type="spellEnd"/>
            <w:r w:rsidRPr="00791489">
              <w:rPr>
                <w:rFonts w:ascii="Verdana" w:hAnsi="Verdana"/>
                <w:sz w:val="18"/>
              </w:rPr>
              <w:t xml:space="preserve"> is a civil penalty provision (see rule 9.8).</w:t>
            </w:r>
          </w:p>
        </w:tc>
        <w:tc>
          <w:tcPr>
            <w:tcW w:w="5103" w:type="dxa"/>
          </w:tcPr>
          <w:p w14:paraId="75AEF995" w14:textId="56D61925" w:rsidR="0060223F" w:rsidRPr="00791489" w:rsidRDefault="0060223F" w:rsidP="000F41E8">
            <w:pPr>
              <w:spacing w:before="120" w:after="120"/>
              <w:rPr>
                <w:rFonts w:ascii="Verdana" w:hAnsi="Verdana"/>
                <w:sz w:val="18"/>
              </w:rPr>
            </w:pPr>
            <w:r>
              <w:rPr>
                <w:rFonts w:ascii="Verdana" w:hAnsi="Verdana"/>
                <w:sz w:val="18"/>
              </w:rPr>
              <w:t>Rule 9.8 lists all the clauses that have civil penalty provisions (within the meaning of the Regulatory Powers Act)</w:t>
            </w:r>
          </w:p>
        </w:tc>
        <w:tc>
          <w:tcPr>
            <w:tcW w:w="1134" w:type="dxa"/>
            <w:shd w:val="clear" w:color="auto" w:fill="auto"/>
            <w:vAlign w:val="center"/>
          </w:tcPr>
          <w:p w14:paraId="54A9B3FA" w14:textId="40292115" w:rsidR="0060223F" w:rsidRPr="00791489" w:rsidRDefault="0060223F" w:rsidP="00D640B3">
            <w:pPr>
              <w:jc w:val="center"/>
              <w:rPr>
                <w:rFonts w:ascii="Verdana" w:hAnsi="Verdana"/>
                <w:sz w:val="18"/>
              </w:rPr>
            </w:pPr>
          </w:p>
        </w:tc>
        <w:tc>
          <w:tcPr>
            <w:tcW w:w="1134" w:type="dxa"/>
            <w:shd w:val="clear" w:color="auto" w:fill="92D050"/>
            <w:vAlign w:val="center"/>
          </w:tcPr>
          <w:p w14:paraId="5C9D12C4" w14:textId="4B10D6A3" w:rsidR="0060223F" w:rsidRPr="00791489" w:rsidRDefault="0060223F" w:rsidP="00F30605">
            <w:pPr>
              <w:jc w:val="center"/>
              <w:rPr>
                <w:rFonts w:ascii="Verdana" w:hAnsi="Verdana"/>
                <w:sz w:val="18"/>
              </w:rPr>
            </w:pPr>
            <w:r>
              <w:rPr>
                <w:rFonts w:ascii="Verdana" w:hAnsi="Verdana"/>
                <w:sz w:val="18"/>
              </w:rPr>
              <w:t>No policy content required</w:t>
            </w:r>
          </w:p>
        </w:tc>
      </w:tr>
      <w:tr w:rsidR="0060223F" w:rsidRPr="00791489" w14:paraId="27994F2B" w14:textId="1018699A" w:rsidTr="0060223F">
        <w:tc>
          <w:tcPr>
            <w:tcW w:w="421" w:type="dxa"/>
            <w:tcMar>
              <w:top w:w="28" w:type="dxa"/>
              <w:left w:w="28" w:type="dxa"/>
              <w:bottom w:w="28" w:type="dxa"/>
              <w:right w:w="57" w:type="dxa"/>
            </w:tcMar>
            <w:vAlign w:val="center"/>
          </w:tcPr>
          <w:p w14:paraId="07A8DB07" w14:textId="77777777" w:rsidR="0060223F" w:rsidRPr="00791489" w:rsidRDefault="0060223F" w:rsidP="00B26229">
            <w:pPr>
              <w:spacing w:before="120" w:after="120"/>
              <w:rPr>
                <w:rFonts w:ascii="Verdana" w:hAnsi="Verdana"/>
                <w:i/>
                <w:color w:val="231F20"/>
                <w:sz w:val="18"/>
              </w:rPr>
            </w:pPr>
          </w:p>
        </w:tc>
        <w:tc>
          <w:tcPr>
            <w:tcW w:w="12757" w:type="dxa"/>
            <w:gridSpan w:val="4"/>
            <w:vAlign w:val="center"/>
          </w:tcPr>
          <w:p w14:paraId="1210BFC3" w14:textId="65A1B4FA" w:rsidR="0060223F" w:rsidRPr="00791489" w:rsidRDefault="0060223F" w:rsidP="00B26229">
            <w:pPr>
              <w:spacing w:before="120" w:after="120"/>
              <w:rPr>
                <w:rFonts w:ascii="Verdana" w:hAnsi="Verdana"/>
                <w:i/>
                <w:color w:val="231F20"/>
                <w:sz w:val="18"/>
              </w:rPr>
            </w:pPr>
            <w:r w:rsidRPr="00791489">
              <w:rPr>
                <w:rFonts w:ascii="Verdana" w:hAnsi="Verdana"/>
                <w:i/>
                <w:color w:val="231F20"/>
                <w:sz w:val="18"/>
              </w:rPr>
              <w:t>Availability of policy</w:t>
            </w:r>
          </w:p>
        </w:tc>
        <w:tc>
          <w:tcPr>
            <w:tcW w:w="1134" w:type="dxa"/>
            <w:vAlign w:val="center"/>
          </w:tcPr>
          <w:p w14:paraId="1397E681" w14:textId="77777777" w:rsidR="0060223F" w:rsidRPr="00791489" w:rsidRDefault="0060223F" w:rsidP="00F30605">
            <w:pPr>
              <w:spacing w:before="120" w:after="120"/>
              <w:jc w:val="center"/>
              <w:rPr>
                <w:rFonts w:ascii="Verdana" w:hAnsi="Verdana"/>
                <w:i/>
                <w:color w:val="231F20"/>
                <w:sz w:val="18"/>
              </w:rPr>
            </w:pPr>
          </w:p>
        </w:tc>
      </w:tr>
      <w:tr w:rsidR="0060223F" w:rsidRPr="00791489" w14:paraId="2A03FEED" w14:textId="515079B1" w:rsidTr="00F30605">
        <w:tc>
          <w:tcPr>
            <w:tcW w:w="421" w:type="dxa"/>
            <w:tcMar>
              <w:top w:w="28" w:type="dxa"/>
              <w:left w:w="28" w:type="dxa"/>
              <w:bottom w:w="28" w:type="dxa"/>
              <w:right w:w="57" w:type="dxa"/>
            </w:tcMar>
            <w:vAlign w:val="center"/>
          </w:tcPr>
          <w:p w14:paraId="0A95F297" w14:textId="77777777" w:rsidR="0060223F" w:rsidRPr="00A066D7" w:rsidRDefault="0060223F" w:rsidP="001543D6">
            <w:pPr>
              <w:spacing w:before="120" w:after="120"/>
              <w:rPr>
                <w:rFonts w:ascii="Verdana" w:hAnsi="Verdana"/>
                <w:b/>
                <w:sz w:val="18"/>
              </w:rPr>
            </w:pPr>
          </w:p>
        </w:tc>
        <w:tc>
          <w:tcPr>
            <w:tcW w:w="992" w:type="dxa"/>
          </w:tcPr>
          <w:p w14:paraId="43D85B57" w14:textId="73E746D9" w:rsidR="0060223F" w:rsidRPr="00A066D7" w:rsidRDefault="0060223F" w:rsidP="001543D6">
            <w:pPr>
              <w:spacing w:before="120" w:after="120"/>
              <w:rPr>
                <w:rFonts w:ascii="Verdana" w:hAnsi="Verdana"/>
                <w:b/>
                <w:sz w:val="18"/>
              </w:rPr>
            </w:pPr>
            <w:r w:rsidRPr="00A066D7">
              <w:rPr>
                <w:rFonts w:ascii="Verdana" w:hAnsi="Verdana"/>
                <w:b/>
                <w:sz w:val="18"/>
              </w:rPr>
              <w:t>Rules 7.2 (8)</w:t>
            </w:r>
          </w:p>
        </w:tc>
        <w:tc>
          <w:tcPr>
            <w:tcW w:w="5528" w:type="dxa"/>
          </w:tcPr>
          <w:p w14:paraId="5E34F511" w14:textId="530831E5" w:rsidR="0060223F" w:rsidRPr="00791489" w:rsidRDefault="0060223F" w:rsidP="001543D6">
            <w:pPr>
              <w:spacing w:before="120" w:after="120"/>
              <w:rPr>
                <w:rFonts w:ascii="Verdana" w:hAnsi="Verdana"/>
                <w:sz w:val="18"/>
              </w:rPr>
            </w:pPr>
            <w:r w:rsidRPr="00791489">
              <w:rPr>
                <w:rFonts w:ascii="Verdana" w:hAnsi="Verdana"/>
                <w:sz w:val="18"/>
              </w:rPr>
              <w:t>For paragraph 56ED(7)(b) of the Act, a CDR participant must make its CDR policy readily available through each online service by means of which the CDR participant ordinarily deals with CDR consumers.</w:t>
            </w:r>
          </w:p>
        </w:tc>
        <w:tc>
          <w:tcPr>
            <w:tcW w:w="5103" w:type="dxa"/>
          </w:tcPr>
          <w:p w14:paraId="30AA6C90" w14:textId="24046BA7" w:rsidR="0060223F" w:rsidRPr="00C16907" w:rsidRDefault="00F30605" w:rsidP="001543D6">
            <w:pPr>
              <w:spacing w:before="120" w:after="120"/>
              <w:rPr>
                <w:rFonts w:ascii="Verdana" w:hAnsi="Verdana"/>
                <w:sz w:val="18"/>
              </w:rPr>
            </w:pPr>
            <w:r>
              <w:rPr>
                <w:rFonts w:ascii="Verdana" w:hAnsi="Verdana"/>
                <w:sz w:val="18"/>
              </w:rPr>
              <w:t>Some subjectivity here however the guidance suggests that if the interaction ordinarily happens thorough a particular online platform then the policy should be provided through that channel.</w:t>
            </w:r>
          </w:p>
        </w:tc>
        <w:tc>
          <w:tcPr>
            <w:tcW w:w="1134" w:type="dxa"/>
            <w:shd w:val="clear" w:color="auto" w:fill="auto"/>
            <w:vAlign w:val="center"/>
          </w:tcPr>
          <w:p w14:paraId="15138C8F" w14:textId="58A2A641" w:rsidR="0060223F" w:rsidRPr="00791489" w:rsidRDefault="0060223F" w:rsidP="0021280E">
            <w:pPr>
              <w:jc w:val="center"/>
              <w:rPr>
                <w:rFonts w:ascii="Verdana" w:hAnsi="Verdana"/>
                <w:sz w:val="18"/>
              </w:rPr>
            </w:pPr>
          </w:p>
        </w:tc>
        <w:tc>
          <w:tcPr>
            <w:tcW w:w="1134" w:type="dxa"/>
            <w:shd w:val="clear" w:color="auto" w:fill="92D050"/>
            <w:vAlign w:val="center"/>
          </w:tcPr>
          <w:p w14:paraId="175950B9" w14:textId="09AFD76E" w:rsidR="0060223F" w:rsidRPr="00791489" w:rsidRDefault="0060223F" w:rsidP="00F30605">
            <w:pPr>
              <w:jc w:val="center"/>
              <w:rPr>
                <w:rFonts w:ascii="Verdana" w:hAnsi="Verdana"/>
                <w:sz w:val="18"/>
              </w:rPr>
            </w:pPr>
            <w:r>
              <w:rPr>
                <w:rFonts w:ascii="Verdana" w:hAnsi="Verdana"/>
                <w:sz w:val="18"/>
              </w:rPr>
              <w:t>No policy content required</w:t>
            </w:r>
          </w:p>
        </w:tc>
      </w:tr>
      <w:tr w:rsidR="0060223F" w:rsidRPr="00791489" w14:paraId="6A9AAFF4" w14:textId="2F858957" w:rsidTr="00F30605">
        <w:tc>
          <w:tcPr>
            <w:tcW w:w="421" w:type="dxa"/>
            <w:tcMar>
              <w:top w:w="28" w:type="dxa"/>
              <w:left w:w="28" w:type="dxa"/>
              <w:bottom w:w="28" w:type="dxa"/>
              <w:right w:w="57" w:type="dxa"/>
            </w:tcMar>
            <w:vAlign w:val="center"/>
          </w:tcPr>
          <w:p w14:paraId="45116878" w14:textId="77777777" w:rsidR="0060223F" w:rsidRPr="00791489" w:rsidRDefault="0060223F" w:rsidP="001543D6">
            <w:pPr>
              <w:spacing w:before="120" w:after="120"/>
              <w:rPr>
                <w:rFonts w:ascii="Verdana" w:hAnsi="Verdana"/>
                <w:sz w:val="18"/>
              </w:rPr>
            </w:pPr>
          </w:p>
        </w:tc>
        <w:tc>
          <w:tcPr>
            <w:tcW w:w="992" w:type="dxa"/>
          </w:tcPr>
          <w:p w14:paraId="428EDA15" w14:textId="358832CB" w:rsidR="0060223F" w:rsidRPr="00791489" w:rsidRDefault="0060223F" w:rsidP="001543D6">
            <w:pPr>
              <w:spacing w:before="120" w:after="120"/>
              <w:rPr>
                <w:rFonts w:ascii="Verdana" w:hAnsi="Verdana"/>
                <w:sz w:val="18"/>
              </w:rPr>
            </w:pPr>
            <w:r w:rsidRPr="00791489">
              <w:rPr>
                <w:rFonts w:ascii="Verdana" w:hAnsi="Verdana"/>
                <w:sz w:val="18"/>
              </w:rPr>
              <w:t xml:space="preserve">Note </w:t>
            </w:r>
          </w:p>
        </w:tc>
        <w:tc>
          <w:tcPr>
            <w:tcW w:w="5528" w:type="dxa"/>
          </w:tcPr>
          <w:p w14:paraId="7D512A7F" w14:textId="77777777" w:rsidR="0060223F" w:rsidRPr="00791489" w:rsidRDefault="0060223F" w:rsidP="001543D6">
            <w:pPr>
              <w:spacing w:before="120" w:after="120"/>
              <w:rPr>
                <w:rFonts w:ascii="Verdana" w:hAnsi="Verdana"/>
                <w:sz w:val="18"/>
              </w:rPr>
            </w:pPr>
            <w:r w:rsidRPr="00791489">
              <w:rPr>
                <w:rFonts w:ascii="Verdana" w:hAnsi="Verdana"/>
                <w:sz w:val="18"/>
              </w:rPr>
              <w:t xml:space="preserve">This </w:t>
            </w:r>
            <w:proofErr w:type="spellStart"/>
            <w:r w:rsidRPr="00791489">
              <w:rPr>
                <w:rFonts w:ascii="Verdana" w:hAnsi="Verdana"/>
                <w:sz w:val="18"/>
              </w:rPr>
              <w:t>subrule</w:t>
            </w:r>
            <w:proofErr w:type="spellEnd"/>
            <w:r w:rsidRPr="00791489">
              <w:rPr>
                <w:rFonts w:ascii="Verdana" w:hAnsi="Verdana"/>
                <w:sz w:val="18"/>
              </w:rPr>
              <w:t xml:space="preserve"> is a civil penalty provision (see rule 9.8).</w:t>
            </w:r>
          </w:p>
        </w:tc>
        <w:tc>
          <w:tcPr>
            <w:tcW w:w="5103" w:type="dxa"/>
          </w:tcPr>
          <w:p w14:paraId="2DD8464B" w14:textId="406F1FE9" w:rsidR="0060223F" w:rsidRPr="00791489" w:rsidRDefault="0060223F" w:rsidP="001543D6">
            <w:pPr>
              <w:spacing w:before="120" w:after="120"/>
              <w:rPr>
                <w:rFonts w:ascii="Verdana" w:hAnsi="Verdana"/>
                <w:sz w:val="18"/>
              </w:rPr>
            </w:pPr>
            <w:r>
              <w:rPr>
                <w:rFonts w:ascii="Verdana" w:hAnsi="Verdana"/>
                <w:sz w:val="18"/>
              </w:rPr>
              <w:t>Rule 9.8 lists all the clauses that have civil penalty provisions (within the meaning of the Regulatory Powers Act)</w:t>
            </w:r>
          </w:p>
        </w:tc>
        <w:tc>
          <w:tcPr>
            <w:tcW w:w="1134" w:type="dxa"/>
            <w:shd w:val="clear" w:color="auto" w:fill="auto"/>
            <w:vAlign w:val="center"/>
          </w:tcPr>
          <w:p w14:paraId="5D0D8456" w14:textId="72D0FB7A" w:rsidR="0060223F" w:rsidRPr="00791489" w:rsidRDefault="0060223F" w:rsidP="0021280E">
            <w:pPr>
              <w:jc w:val="center"/>
              <w:rPr>
                <w:rFonts w:ascii="Verdana" w:hAnsi="Verdana"/>
                <w:sz w:val="18"/>
              </w:rPr>
            </w:pPr>
          </w:p>
        </w:tc>
        <w:tc>
          <w:tcPr>
            <w:tcW w:w="1134" w:type="dxa"/>
            <w:shd w:val="clear" w:color="auto" w:fill="92D050"/>
            <w:vAlign w:val="center"/>
          </w:tcPr>
          <w:p w14:paraId="30F2AA65" w14:textId="3BC61D53" w:rsidR="0060223F" w:rsidRPr="00791489" w:rsidRDefault="0060223F" w:rsidP="00F30605">
            <w:pPr>
              <w:jc w:val="center"/>
              <w:rPr>
                <w:rFonts w:ascii="Verdana" w:hAnsi="Verdana"/>
                <w:sz w:val="18"/>
              </w:rPr>
            </w:pPr>
            <w:r>
              <w:rPr>
                <w:rFonts w:ascii="Verdana" w:hAnsi="Verdana"/>
                <w:sz w:val="18"/>
              </w:rPr>
              <w:t>No policy content required</w:t>
            </w:r>
          </w:p>
        </w:tc>
      </w:tr>
      <w:tr w:rsidR="0060223F" w:rsidRPr="00791489" w14:paraId="79396328" w14:textId="6239BB19" w:rsidTr="0060223F">
        <w:tc>
          <w:tcPr>
            <w:tcW w:w="421" w:type="dxa"/>
            <w:tcMar>
              <w:top w:w="28" w:type="dxa"/>
              <w:left w:w="28" w:type="dxa"/>
              <w:bottom w:w="28" w:type="dxa"/>
              <w:right w:w="57" w:type="dxa"/>
            </w:tcMar>
            <w:vAlign w:val="center"/>
          </w:tcPr>
          <w:p w14:paraId="32AF9C09" w14:textId="77777777" w:rsidR="0060223F" w:rsidRPr="00A066D7" w:rsidRDefault="0060223F" w:rsidP="001543D6">
            <w:pPr>
              <w:spacing w:before="120" w:after="120"/>
              <w:rPr>
                <w:rFonts w:ascii="Verdana" w:hAnsi="Verdana"/>
                <w:b/>
                <w:sz w:val="18"/>
              </w:rPr>
            </w:pPr>
          </w:p>
        </w:tc>
        <w:tc>
          <w:tcPr>
            <w:tcW w:w="992" w:type="dxa"/>
          </w:tcPr>
          <w:p w14:paraId="1D96E064" w14:textId="47E18B73" w:rsidR="0060223F" w:rsidRPr="00A066D7" w:rsidRDefault="0060223F" w:rsidP="001543D6">
            <w:pPr>
              <w:spacing w:before="120" w:after="120"/>
              <w:rPr>
                <w:rFonts w:ascii="Verdana" w:hAnsi="Verdana"/>
                <w:b/>
                <w:sz w:val="18"/>
              </w:rPr>
            </w:pPr>
            <w:r w:rsidRPr="00A066D7">
              <w:rPr>
                <w:rFonts w:ascii="Verdana" w:hAnsi="Verdana"/>
                <w:b/>
                <w:sz w:val="18"/>
              </w:rPr>
              <w:t>Rules 7.2 (9)</w:t>
            </w:r>
          </w:p>
        </w:tc>
        <w:tc>
          <w:tcPr>
            <w:tcW w:w="11765" w:type="dxa"/>
            <w:gridSpan w:val="3"/>
            <w:vAlign w:val="center"/>
          </w:tcPr>
          <w:p w14:paraId="72491862" w14:textId="6FA0A4DF" w:rsidR="0060223F" w:rsidRPr="00791489" w:rsidRDefault="0060223F" w:rsidP="001543D6">
            <w:pPr>
              <w:spacing w:before="120" w:after="120"/>
              <w:rPr>
                <w:rFonts w:ascii="Verdana" w:hAnsi="Verdana"/>
                <w:sz w:val="18"/>
              </w:rPr>
            </w:pPr>
            <w:r w:rsidRPr="00791489">
              <w:rPr>
                <w:rFonts w:ascii="Verdana" w:hAnsi="Verdana"/>
                <w:sz w:val="18"/>
              </w:rPr>
              <w:t>For subsection 56ED(8) of the Act, if a copy of a the CDR participant's policy is requested by a CDR consumer, the participant must give the CDR consumer a copy:</w:t>
            </w:r>
          </w:p>
        </w:tc>
        <w:tc>
          <w:tcPr>
            <w:tcW w:w="1134" w:type="dxa"/>
            <w:vAlign w:val="center"/>
          </w:tcPr>
          <w:p w14:paraId="5BCB915C" w14:textId="77777777" w:rsidR="0060223F" w:rsidRPr="00791489" w:rsidRDefault="0060223F" w:rsidP="001543D6">
            <w:pPr>
              <w:spacing w:before="120" w:after="120"/>
              <w:rPr>
                <w:rFonts w:ascii="Verdana" w:hAnsi="Verdana"/>
                <w:sz w:val="18"/>
              </w:rPr>
            </w:pPr>
          </w:p>
        </w:tc>
      </w:tr>
      <w:tr w:rsidR="0060223F" w:rsidRPr="00791489" w14:paraId="57536195" w14:textId="5A6ABCC2" w:rsidTr="00F30605">
        <w:tc>
          <w:tcPr>
            <w:tcW w:w="421" w:type="dxa"/>
            <w:tcMar>
              <w:top w:w="28" w:type="dxa"/>
              <w:left w:w="28" w:type="dxa"/>
              <w:bottom w:w="28" w:type="dxa"/>
              <w:right w:w="57" w:type="dxa"/>
            </w:tcMar>
            <w:vAlign w:val="center"/>
          </w:tcPr>
          <w:p w14:paraId="5F85D61A" w14:textId="77777777" w:rsidR="0060223F" w:rsidRPr="00791489" w:rsidRDefault="0060223F" w:rsidP="001543D6">
            <w:pPr>
              <w:spacing w:before="120" w:after="120"/>
              <w:jc w:val="right"/>
              <w:rPr>
                <w:rFonts w:ascii="Verdana" w:hAnsi="Verdana"/>
                <w:sz w:val="18"/>
              </w:rPr>
            </w:pPr>
          </w:p>
        </w:tc>
        <w:tc>
          <w:tcPr>
            <w:tcW w:w="992" w:type="dxa"/>
          </w:tcPr>
          <w:p w14:paraId="1CE94A17" w14:textId="1601D645" w:rsidR="0060223F" w:rsidRPr="00791489" w:rsidRDefault="0060223F" w:rsidP="001543D6">
            <w:pPr>
              <w:spacing w:before="120" w:after="120"/>
              <w:jc w:val="right"/>
              <w:rPr>
                <w:rFonts w:ascii="Verdana" w:hAnsi="Verdana"/>
                <w:sz w:val="18"/>
              </w:rPr>
            </w:pPr>
            <w:r w:rsidRPr="00791489">
              <w:rPr>
                <w:rFonts w:ascii="Verdana" w:hAnsi="Verdana"/>
                <w:sz w:val="18"/>
              </w:rPr>
              <w:t>(a)</w:t>
            </w:r>
          </w:p>
        </w:tc>
        <w:tc>
          <w:tcPr>
            <w:tcW w:w="5528" w:type="dxa"/>
          </w:tcPr>
          <w:p w14:paraId="3CCC1C10" w14:textId="3D0F20B7" w:rsidR="0060223F" w:rsidRPr="00791489" w:rsidRDefault="0060223F" w:rsidP="001543D6">
            <w:pPr>
              <w:spacing w:before="120" w:after="120"/>
              <w:rPr>
                <w:rFonts w:ascii="Verdana" w:hAnsi="Verdana"/>
                <w:sz w:val="18"/>
              </w:rPr>
            </w:pPr>
            <w:r w:rsidRPr="00791489">
              <w:rPr>
                <w:rFonts w:ascii="Verdana" w:hAnsi="Verdana"/>
                <w:sz w:val="18"/>
              </w:rPr>
              <w:t>electronically; or</w:t>
            </w:r>
          </w:p>
        </w:tc>
        <w:tc>
          <w:tcPr>
            <w:tcW w:w="5103" w:type="dxa"/>
          </w:tcPr>
          <w:p w14:paraId="7D5D6521" w14:textId="3108DAF1" w:rsidR="0060223F" w:rsidRPr="00791489" w:rsidRDefault="00F30605" w:rsidP="001543D6">
            <w:pPr>
              <w:spacing w:before="120" w:after="120"/>
              <w:rPr>
                <w:rFonts w:ascii="Verdana" w:hAnsi="Verdana"/>
                <w:sz w:val="18"/>
              </w:rPr>
            </w:pPr>
            <w:r>
              <w:rPr>
                <w:rFonts w:ascii="Verdana" w:hAnsi="Verdana"/>
                <w:sz w:val="18"/>
              </w:rPr>
              <w:t>Provide</w:t>
            </w:r>
            <w:r w:rsidR="0060223F">
              <w:rPr>
                <w:rFonts w:ascii="Verdana" w:hAnsi="Verdana"/>
                <w:sz w:val="18"/>
              </w:rPr>
              <w:t xml:space="preserve"> via the website in HTML and also static PDF as required.</w:t>
            </w:r>
          </w:p>
        </w:tc>
        <w:tc>
          <w:tcPr>
            <w:tcW w:w="1134" w:type="dxa"/>
            <w:shd w:val="clear" w:color="auto" w:fill="auto"/>
            <w:vAlign w:val="center"/>
          </w:tcPr>
          <w:p w14:paraId="02FDA298" w14:textId="6BF6BB38" w:rsidR="0060223F" w:rsidRPr="00791489" w:rsidRDefault="0060223F" w:rsidP="009069A2">
            <w:pPr>
              <w:jc w:val="center"/>
              <w:rPr>
                <w:rFonts w:ascii="Verdana" w:hAnsi="Verdana"/>
                <w:sz w:val="18"/>
              </w:rPr>
            </w:pPr>
          </w:p>
        </w:tc>
        <w:tc>
          <w:tcPr>
            <w:tcW w:w="1134" w:type="dxa"/>
            <w:shd w:val="clear" w:color="auto" w:fill="auto"/>
            <w:vAlign w:val="center"/>
          </w:tcPr>
          <w:p w14:paraId="4BD83B03" w14:textId="3BC41216" w:rsidR="0060223F" w:rsidRPr="00791489" w:rsidRDefault="0060223F" w:rsidP="00E917BB">
            <w:pPr>
              <w:jc w:val="center"/>
              <w:rPr>
                <w:rFonts w:ascii="Verdana" w:hAnsi="Verdana"/>
                <w:sz w:val="18"/>
              </w:rPr>
            </w:pPr>
          </w:p>
        </w:tc>
      </w:tr>
      <w:tr w:rsidR="0060223F" w:rsidRPr="00791489" w14:paraId="32B820C1" w14:textId="6AE3E47B" w:rsidTr="00F30605">
        <w:tc>
          <w:tcPr>
            <w:tcW w:w="421" w:type="dxa"/>
            <w:tcMar>
              <w:top w:w="28" w:type="dxa"/>
              <w:left w:w="28" w:type="dxa"/>
              <w:bottom w:w="28" w:type="dxa"/>
              <w:right w:w="57" w:type="dxa"/>
            </w:tcMar>
            <w:vAlign w:val="center"/>
          </w:tcPr>
          <w:p w14:paraId="696B7F38" w14:textId="77777777" w:rsidR="0060223F" w:rsidRPr="00791489" w:rsidRDefault="0060223F" w:rsidP="001543D6">
            <w:pPr>
              <w:spacing w:before="120" w:after="120"/>
              <w:jc w:val="right"/>
              <w:rPr>
                <w:rFonts w:ascii="Verdana" w:hAnsi="Verdana"/>
                <w:sz w:val="18"/>
              </w:rPr>
            </w:pPr>
          </w:p>
        </w:tc>
        <w:tc>
          <w:tcPr>
            <w:tcW w:w="992" w:type="dxa"/>
          </w:tcPr>
          <w:p w14:paraId="43E937F3" w14:textId="2C7396C3" w:rsidR="0060223F" w:rsidRPr="00791489" w:rsidRDefault="0060223F" w:rsidP="001543D6">
            <w:pPr>
              <w:spacing w:before="120" w:after="120"/>
              <w:jc w:val="right"/>
              <w:rPr>
                <w:rFonts w:ascii="Verdana" w:hAnsi="Verdana"/>
                <w:sz w:val="18"/>
              </w:rPr>
            </w:pPr>
            <w:r w:rsidRPr="00791489">
              <w:rPr>
                <w:rFonts w:ascii="Verdana" w:hAnsi="Verdana"/>
                <w:sz w:val="18"/>
              </w:rPr>
              <w:t>(b)</w:t>
            </w:r>
          </w:p>
        </w:tc>
        <w:tc>
          <w:tcPr>
            <w:tcW w:w="5528" w:type="dxa"/>
          </w:tcPr>
          <w:p w14:paraId="2A1E3B0D" w14:textId="77777777" w:rsidR="0060223F" w:rsidRPr="00791489" w:rsidRDefault="0060223F" w:rsidP="001543D6">
            <w:pPr>
              <w:spacing w:before="120" w:after="120"/>
              <w:rPr>
                <w:rFonts w:ascii="Verdana" w:hAnsi="Verdana"/>
                <w:sz w:val="18"/>
              </w:rPr>
            </w:pPr>
            <w:r w:rsidRPr="00791489">
              <w:rPr>
                <w:rFonts w:ascii="Verdana" w:hAnsi="Verdana"/>
                <w:sz w:val="18"/>
              </w:rPr>
              <w:t>in hard copy;</w:t>
            </w:r>
          </w:p>
          <w:p w14:paraId="65144E7A" w14:textId="26EBFC0A" w:rsidR="0060223F" w:rsidRPr="00791489" w:rsidRDefault="0060223F" w:rsidP="001543D6">
            <w:pPr>
              <w:pStyle w:val="BodyText"/>
              <w:spacing w:before="120" w:after="120"/>
              <w:rPr>
                <w:rFonts w:ascii="Verdana" w:eastAsiaTheme="minorHAnsi" w:hAnsi="Verdana" w:cstheme="minorBidi"/>
                <w:sz w:val="18"/>
                <w:szCs w:val="22"/>
                <w:lang w:val="en-AU"/>
              </w:rPr>
            </w:pPr>
            <w:r w:rsidRPr="00791489">
              <w:rPr>
                <w:rFonts w:ascii="Verdana" w:eastAsiaTheme="minorHAnsi" w:hAnsi="Verdana" w:cstheme="minorBidi"/>
                <w:sz w:val="18"/>
                <w:szCs w:val="22"/>
                <w:lang w:val="en-AU"/>
              </w:rPr>
              <w:t>as directed by the consumer.</w:t>
            </w:r>
          </w:p>
        </w:tc>
        <w:tc>
          <w:tcPr>
            <w:tcW w:w="5103" w:type="dxa"/>
          </w:tcPr>
          <w:p w14:paraId="5713790F" w14:textId="6599631A" w:rsidR="0060223F" w:rsidRPr="00791489" w:rsidRDefault="0060223F" w:rsidP="001543D6">
            <w:pPr>
              <w:spacing w:before="120" w:after="120"/>
              <w:rPr>
                <w:rFonts w:ascii="Verdana" w:hAnsi="Verdana"/>
                <w:sz w:val="18"/>
              </w:rPr>
            </w:pPr>
            <w:r w:rsidRPr="00791489">
              <w:rPr>
                <w:rFonts w:ascii="Verdana" w:hAnsi="Verdana"/>
                <w:sz w:val="18"/>
              </w:rPr>
              <w:t xml:space="preserve">We can print this out at </w:t>
            </w:r>
            <w:r w:rsidR="00F30605">
              <w:rPr>
                <w:rFonts w:ascii="Verdana" w:hAnsi="Verdana"/>
                <w:sz w:val="18"/>
              </w:rPr>
              <w:t>office locations</w:t>
            </w:r>
            <w:r w:rsidRPr="00791489">
              <w:rPr>
                <w:rFonts w:ascii="Verdana" w:hAnsi="Verdana"/>
                <w:sz w:val="18"/>
              </w:rPr>
              <w:t xml:space="preserve"> if a customer needs it, or we could provide via mail</w:t>
            </w:r>
            <w:r w:rsidR="004C65B4">
              <w:rPr>
                <w:rFonts w:ascii="Verdana" w:hAnsi="Verdana"/>
                <w:sz w:val="18"/>
              </w:rPr>
              <w:t>.</w:t>
            </w:r>
          </w:p>
        </w:tc>
        <w:tc>
          <w:tcPr>
            <w:tcW w:w="1134" w:type="dxa"/>
            <w:shd w:val="clear" w:color="auto" w:fill="auto"/>
            <w:vAlign w:val="center"/>
          </w:tcPr>
          <w:p w14:paraId="21180D04" w14:textId="0D0EBBA5" w:rsidR="0060223F" w:rsidRPr="00791489" w:rsidRDefault="0060223F" w:rsidP="009069A2">
            <w:pPr>
              <w:jc w:val="center"/>
              <w:rPr>
                <w:rFonts w:ascii="Verdana" w:hAnsi="Verdana"/>
                <w:sz w:val="18"/>
              </w:rPr>
            </w:pPr>
          </w:p>
        </w:tc>
        <w:tc>
          <w:tcPr>
            <w:tcW w:w="1134" w:type="dxa"/>
            <w:shd w:val="clear" w:color="auto" w:fill="auto"/>
            <w:vAlign w:val="center"/>
          </w:tcPr>
          <w:p w14:paraId="43C1291C" w14:textId="73793C64" w:rsidR="0060223F" w:rsidRPr="00791489" w:rsidRDefault="0060223F" w:rsidP="00E917BB">
            <w:pPr>
              <w:jc w:val="center"/>
              <w:rPr>
                <w:rFonts w:ascii="Verdana" w:hAnsi="Verdana"/>
                <w:sz w:val="18"/>
              </w:rPr>
            </w:pPr>
          </w:p>
        </w:tc>
      </w:tr>
      <w:tr w:rsidR="0060223F" w:rsidRPr="00791489" w14:paraId="4577B788" w14:textId="6A08862C" w:rsidTr="00F30605">
        <w:tc>
          <w:tcPr>
            <w:tcW w:w="421" w:type="dxa"/>
            <w:tcMar>
              <w:top w:w="28" w:type="dxa"/>
              <w:left w:w="28" w:type="dxa"/>
              <w:bottom w:w="28" w:type="dxa"/>
              <w:right w:w="57" w:type="dxa"/>
            </w:tcMar>
            <w:vAlign w:val="center"/>
          </w:tcPr>
          <w:p w14:paraId="7ED53AF7" w14:textId="77777777" w:rsidR="0060223F" w:rsidRPr="00791489" w:rsidRDefault="0060223F" w:rsidP="00E917BB">
            <w:pPr>
              <w:spacing w:before="120" w:after="120"/>
              <w:rPr>
                <w:rFonts w:ascii="Verdana" w:hAnsi="Verdana"/>
                <w:sz w:val="18"/>
              </w:rPr>
            </w:pPr>
          </w:p>
        </w:tc>
        <w:tc>
          <w:tcPr>
            <w:tcW w:w="992" w:type="dxa"/>
          </w:tcPr>
          <w:p w14:paraId="770B01F9" w14:textId="5BFC7304" w:rsidR="0060223F" w:rsidRPr="00791489" w:rsidRDefault="0060223F" w:rsidP="00E917BB">
            <w:pPr>
              <w:spacing w:before="120" w:after="120"/>
              <w:rPr>
                <w:rFonts w:ascii="Verdana" w:hAnsi="Verdana"/>
                <w:sz w:val="18"/>
              </w:rPr>
            </w:pPr>
            <w:r w:rsidRPr="00791489">
              <w:rPr>
                <w:rFonts w:ascii="Verdana" w:hAnsi="Verdana"/>
                <w:sz w:val="18"/>
              </w:rPr>
              <w:t xml:space="preserve">Note </w:t>
            </w:r>
          </w:p>
        </w:tc>
        <w:tc>
          <w:tcPr>
            <w:tcW w:w="5528" w:type="dxa"/>
          </w:tcPr>
          <w:p w14:paraId="7C57A1BE" w14:textId="77777777" w:rsidR="0060223F" w:rsidRPr="00791489" w:rsidRDefault="0060223F" w:rsidP="00E917BB">
            <w:pPr>
              <w:spacing w:before="120" w:after="120"/>
              <w:rPr>
                <w:rFonts w:ascii="Verdana" w:hAnsi="Verdana"/>
                <w:sz w:val="18"/>
              </w:rPr>
            </w:pPr>
            <w:r w:rsidRPr="00791489">
              <w:rPr>
                <w:rFonts w:ascii="Verdana" w:hAnsi="Verdana"/>
                <w:sz w:val="18"/>
              </w:rPr>
              <w:t xml:space="preserve">This </w:t>
            </w:r>
            <w:proofErr w:type="spellStart"/>
            <w:r w:rsidRPr="00791489">
              <w:rPr>
                <w:rFonts w:ascii="Verdana" w:hAnsi="Verdana"/>
                <w:sz w:val="18"/>
              </w:rPr>
              <w:t>subrule</w:t>
            </w:r>
            <w:proofErr w:type="spellEnd"/>
            <w:r w:rsidRPr="00791489">
              <w:rPr>
                <w:rFonts w:ascii="Verdana" w:hAnsi="Verdana"/>
                <w:sz w:val="18"/>
              </w:rPr>
              <w:t xml:space="preserve"> is a civil penalty provision (see rule 9.8).</w:t>
            </w:r>
          </w:p>
        </w:tc>
        <w:tc>
          <w:tcPr>
            <w:tcW w:w="5103" w:type="dxa"/>
          </w:tcPr>
          <w:p w14:paraId="48E4F2A1" w14:textId="487BCD23" w:rsidR="0060223F" w:rsidRPr="00791489" w:rsidRDefault="0060223F" w:rsidP="00E917BB">
            <w:pPr>
              <w:spacing w:before="120" w:after="120"/>
              <w:rPr>
                <w:rFonts w:ascii="Verdana" w:hAnsi="Verdana"/>
                <w:sz w:val="18"/>
              </w:rPr>
            </w:pPr>
            <w:r>
              <w:rPr>
                <w:rFonts w:ascii="Verdana" w:hAnsi="Verdana"/>
                <w:sz w:val="18"/>
              </w:rPr>
              <w:t>Rule 9.8 lists all the clauses that have civil penalty provisions (within the meaning of the Regulatory Powers Act)</w:t>
            </w:r>
            <w:r w:rsidR="004C65B4">
              <w:rPr>
                <w:rFonts w:ascii="Verdana" w:hAnsi="Verdana"/>
                <w:sz w:val="18"/>
              </w:rPr>
              <w:t>.</w:t>
            </w:r>
          </w:p>
        </w:tc>
        <w:tc>
          <w:tcPr>
            <w:tcW w:w="1134" w:type="dxa"/>
            <w:shd w:val="clear" w:color="auto" w:fill="auto"/>
            <w:vAlign w:val="center"/>
          </w:tcPr>
          <w:p w14:paraId="123CE707" w14:textId="5734EB75" w:rsidR="0060223F" w:rsidRPr="00791489" w:rsidRDefault="0060223F" w:rsidP="009069A2">
            <w:pPr>
              <w:jc w:val="center"/>
              <w:rPr>
                <w:rFonts w:ascii="Verdana" w:hAnsi="Verdana"/>
                <w:sz w:val="18"/>
              </w:rPr>
            </w:pPr>
          </w:p>
        </w:tc>
        <w:tc>
          <w:tcPr>
            <w:tcW w:w="1134" w:type="dxa"/>
            <w:shd w:val="clear" w:color="auto" w:fill="92D050"/>
            <w:vAlign w:val="center"/>
          </w:tcPr>
          <w:p w14:paraId="6410284A" w14:textId="476BFA89" w:rsidR="0060223F" w:rsidRPr="00791489" w:rsidRDefault="0060223F" w:rsidP="00E917BB">
            <w:pPr>
              <w:jc w:val="center"/>
              <w:rPr>
                <w:rFonts w:ascii="Verdana" w:hAnsi="Verdana"/>
                <w:sz w:val="18"/>
              </w:rPr>
            </w:pPr>
            <w:r>
              <w:rPr>
                <w:rFonts w:ascii="Verdana" w:hAnsi="Verdana"/>
                <w:sz w:val="18"/>
              </w:rPr>
              <w:t>No policy content required</w:t>
            </w:r>
          </w:p>
        </w:tc>
      </w:tr>
    </w:tbl>
    <w:p w14:paraId="2D26BB9A" w14:textId="1B596327" w:rsidR="00504F5E" w:rsidRDefault="64F97F21">
      <w:pPr>
        <w:rPr>
          <w:sz w:val="20"/>
        </w:rPr>
      </w:pPr>
      <w:r w:rsidRPr="00791489">
        <w:rPr>
          <w:sz w:val="20"/>
        </w:rPr>
        <w:br w:type="page"/>
      </w:r>
    </w:p>
    <w:p w14:paraId="7CF08EB9" w14:textId="77777777" w:rsidR="004A4C11" w:rsidRDefault="00504F5E" w:rsidP="00E32A8E">
      <w:pPr>
        <w:spacing w:before="120" w:after="120"/>
        <w:jc w:val="center"/>
        <w:rPr>
          <w:rFonts w:ascii="Verdana" w:hAnsi="Verdana"/>
          <w:b/>
        </w:rPr>
      </w:pPr>
      <w:r w:rsidRPr="00791489">
        <w:rPr>
          <w:rFonts w:ascii="Verdana" w:hAnsi="Verdana"/>
          <w:b/>
        </w:rPr>
        <w:lastRenderedPageBreak/>
        <w:t xml:space="preserve">CDR Policy </w:t>
      </w:r>
      <w:r>
        <w:rPr>
          <w:rFonts w:ascii="Verdana" w:hAnsi="Verdana"/>
          <w:b/>
        </w:rPr>
        <w:t>Requirements Cross-Reference</w:t>
      </w:r>
    </w:p>
    <w:p w14:paraId="59B0944E" w14:textId="2889D17C" w:rsidR="00504F5E" w:rsidRPr="004A4C11" w:rsidRDefault="00504F5E" w:rsidP="00E32A8E">
      <w:pPr>
        <w:spacing w:before="120" w:after="120"/>
        <w:jc w:val="center"/>
        <w:rPr>
          <w:rFonts w:ascii="Verdana" w:hAnsi="Verdana"/>
          <w:b/>
        </w:rPr>
      </w:pPr>
      <w:r w:rsidRPr="004A4C11">
        <w:rPr>
          <w:rFonts w:ascii="Verdana" w:hAnsi="Verdana"/>
          <w:b/>
        </w:rPr>
        <w:t xml:space="preserve">Aligned with the </w:t>
      </w:r>
      <w:r w:rsidR="004A4C11">
        <w:rPr>
          <w:rFonts w:ascii="Verdana" w:hAnsi="Verdana"/>
          <w:b/>
        </w:rPr>
        <w:t xml:space="preserve">Competition and Consumer </w:t>
      </w:r>
      <w:r w:rsidRPr="004A4C11">
        <w:rPr>
          <w:rFonts w:ascii="Verdana" w:hAnsi="Verdana"/>
          <w:b/>
        </w:rPr>
        <w:t>Act</w:t>
      </w:r>
      <w:r w:rsidR="004A4C11">
        <w:rPr>
          <w:rFonts w:ascii="Verdana" w:hAnsi="Verdana"/>
          <w:b/>
        </w:rPr>
        <w:t xml:space="preserve"> (including amendments up to: Act No. 94, 2019)</w:t>
      </w:r>
    </w:p>
    <w:tbl>
      <w:tblPr>
        <w:tblStyle w:val="TableGrid"/>
        <w:tblW w:w="14293" w:type="dxa"/>
        <w:tblLook w:val="04A0" w:firstRow="1" w:lastRow="0" w:firstColumn="1" w:lastColumn="0" w:noHBand="0" w:noVBand="1"/>
      </w:tblPr>
      <w:tblGrid>
        <w:gridCol w:w="476"/>
        <w:gridCol w:w="1685"/>
        <w:gridCol w:w="4638"/>
        <w:gridCol w:w="5045"/>
        <w:gridCol w:w="1243"/>
        <w:gridCol w:w="1206"/>
      </w:tblGrid>
      <w:tr w:rsidR="00EA412C" w:rsidRPr="00791489" w14:paraId="33F3F22D" w14:textId="2095392C" w:rsidTr="0076467E">
        <w:trPr>
          <w:tblHeader/>
        </w:trPr>
        <w:tc>
          <w:tcPr>
            <w:tcW w:w="476" w:type="dxa"/>
            <w:shd w:val="clear" w:color="auto" w:fill="FFF2CC" w:themeFill="accent4" w:themeFillTint="33"/>
            <w:tcMar>
              <w:left w:w="57" w:type="dxa"/>
              <w:right w:w="57" w:type="dxa"/>
            </w:tcMar>
          </w:tcPr>
          <w:p w14:paraId="3C6FCC22" w14:textId="247B2174" w:rsidR="00EA412C" w:rsidRDefault="00EA412C" w:rsidP="00151977">
            <w:pPr>
              <w:spacing w:before="120" w:after="120"/>
              <w:rPr>
                <w:rFonts w:ascii="Verdana" w:hAnsi="Verdana"/>
                <w:b/>
                <w:sz w:val="18"/>
              </w:rPr>
            </w:pPr>
            <w:r>
              <w:rPr>
                <w:rFonts w:ascii="Verdana" w:hAnsi="Verdana"/>
                <w:b/>
                <w:sz w:val="18"/>
              </w:rPr>
              <w:t>DR DH</w:t>
            </w:r>
          </w:p>
        </w:tc>
        <w:tc>
          <w:tcPr>
            <w:tcW w:w="1685" w:type="dxa"/>
            <w:shd w:val="clear" w:color="auto" w:fill="FFF2CC" w:themeFill="accent4" w:themeFillTint="33"/>
          </w:tcPr>
          <w:p w14:paraId="41F7BBF7" w14:textId="0E71BD17" w:rsidR="00EA412C" w:rsidRPr="00791489" w:rsidRDefault="00EA412C" w:rsidP="00151977">
            <w:pPr>
              <w:spacing w:before="120" w:after="120"/>
              <w:rPr>
                <w:rFonts w:ascii="Verdana" w:hAnsi="Verdana"/>
                <w:b/>
                <w:sz w:val="18"/>
              </w:rPr>
            </w:pPr>
            <w:r>
              <w:rPr>
                <w:rFonts w:ascii="Verdana" w:hAnsi="Verdana"/>
                <w:b/>
                <w:sz w:val="18"/>
              </w:rPr>
              <w:t>Ref</w:t>
            </w:r>
          </w:p>
        </w:tc>
        <w:tc>
          <w:tcPr>
            <w:tcW w:w="4638" w:type="dxa"/>
            <w:shd w:val="clear" w:color="auto" w:fill="FFF2CC" w:themeFill="accent4" w:themeFillTint="33"/>
          </w:tcPr>
          <w:p w14:paraId="57F2D556" w14:textId="77777777" w:rsidR="00EA412C" w:rsidRPr="00791489" w:rsidRDefault="00EA412C" w:rsidP="00151977">
            <w:pPr>
              <w:spacing w:before="120" w:after="120"/>
              <w:rPr>
                <w:rFonts w:ascii="Verdana" w:hAnsi="Verdana"/>
                <w:b/>
                <w:sz w:val="18"/>
              </w:rPr>
            </w:pPr>
            <w:r w:rsidRPr="00791489">
              <w:rPr>
                <w:rFonts w:ascii="Verdana" w:hAnsi="Verdana"/>
                <w:b/>
                <w:sz w:val="18"/>
              </w:rPr>
              <w:t>Content</w:t>
            </w:r>
          </w:p>
        </w:tc>
        <w:tc>
          <w:tcPr>
            <w:tcW w:w="5045" w:type="dxa"/>
            <w:shd w:val="clear" w:color="auto" w:fill="FFF2CC" w:themeFill="accent4" w:themeFillTint="33"/>
          </w:tcPr>
          <w:p w14:paraId="19EF1F95" w14:textId="77777777" w:rsidR="00EA412C" w:rsidRPr="00791489" w:rsidRDefault="00EA412C" w:rsidP="00151977">
            <w:pPr>
              <w:spacing w:before="120" w:after="120"/>
              <w:rPr>
                <w:rFonts w:ascii="Verdana" w:hAnsi="Verdana"/>
                <w:b/>
                <w:sz w:val="18"/>
              </w:rPr>
            </w:pPr>
            <w:r w:rsidRPr="00791489">
              <w:rPr>
                <w:rFonts w:ascii="Verdana" w:hAnsi="Verdana"/>
                <w:b/>
                <w:sz w:val="18"/>
              </w:rPr>
              <w:t xml:space="preserve">Comment </w:t>
            </w:r>
          </w:p>
        </w:tc>
        <w:tc>
          <w:tcPr>
            <w:tcW w:w="1243" w:type="dxa"/>
            <w:shd w:val="clear" w:color="auto" w:fill="FFF2CC" w:themeFill="accent4" w:themeFillTint="33"/>
            <w:vAlign w:val="center"/>
          </w:tcPr>
          <w:p w14:paraId="059B5AB8" w14:textId="01697D48" w:rsidR="00EA412C" w:rsidRPr="00791489" w:rsidRDefault="00EA412C" w:rsidP="00151977">
            <w:pPr>
              <w:spacing w:before="120" w:after="120"/>
              <w:jc w:val="center"/>
              <w:rPr>
                <w:rFonts w:ascii="Verdana" w:hAnsi="Verdana"/>
                <w:b/>
                <w:sz w:val="18"/>
              </w:rPr>
            </w:pPr>
            <w:r w:rsidRPr="00D428AA">
              <w:rPr>
                <w:rFonts w:ascii="Verdana" w:hAnsi="Verdana"/>
                <w:b/>
                <w:sz w:val="16"/>
              </w:rPr>
              <w:t xml:space="preserve">Do </w:t>
            </w:r>
            <w:r>
              <w:rPr>
                <w:rFonts w:ascii="Verdana" w:hAnsi="Verdana"/>
                <w:b/>
                <w:sz w:val="16"/>
              </w:rPr>
              <w:t>we fully</w:t>
            </w:r>
            <w:r w:rsidRPr="00D428AA">
              <w:rPr>
                <w:rFonts w:ascii="Verdana" w:hAnsi="Verdana"/>
                <w:b/>
                <w:sz w:val="16"/>
              </w:rPr>
              <w:t xml:space="preserve"> </w:t>
            </w:r>
            <w:r>
              <w:rPr>
                <w:rFonts w:ascii="Verdana" w:hAnsi="Verdana"/>
                <w:b/>
                <w:sz w:val="16"/>
              </w:rPr>
              <w:t>u</w:t>
            </w:r>
            <w:r w:rsidRPr="00D428AA">
              <w:rPr>
                <w:rFonts w:ascii="Verdana" w:hAnsi="Verdana"/>
                <w:b/>
                <w:sz w:val="16"/>
              </w:rPr>
              <w:t>nderstand</w:t>
            </w:r>
            <w:r>
              <w:rPr>
                <w:rFonts w:ascii="Verdana" w:hAnsi="Verdana"/>
                <w:b/>
                <w:sz w:val="16"/>
              </w:rPr>
              <w:t xml:space="preserve"> this?</w:t>
            </w:r>
          </w:p>
        </w:tc>
        <w:tc>
          <w:tcPr>
            <w:tcW w:w="1206" w:type="dxa"/>
            <w:shd w:val="clear" w:color="auto" w:fill="FFF2CC" w:themeFill="accent4" w:themeFillTint="33"/>
            <w:vAlign w:val="center"/>
          </w:tcPr>
          <w:p w14:paraId="17BF0123" w14:textId="56158B2A" w:rsidR="00EA412C" w:rsidRDefault="00EA412C" w:rsidP="00151977">
            <w:pPr>
              <w:spacing w:before="120" w:after="120"/>
              <w:jc w:val="center"/>
              <w:rPr>
                <w:rFonts w:ascii="Verdana" w:hAnsi="Verdana"/>
                <w:b/>
                <w:sz w:val="18"/>
              </w:rPr>
            </w:pPr>
            <w:r>
              <w:rPr>
                <w:rFonts w:ascii="Verdana" w:hAnsi="Verdana"/>
                <w:b/>
                <w:sz w:val="16"/>
              </w:rPr>
              <w:t>Does our CDR Policy comply?</w:t>
            </w:r>
          </w:p>
        </w:tc>
      </w:tr>
      <w:tr w:rsidR="00EA412C" w:rsidRPr="00791489" w14:paraId="4B572439" w14:textId="0C353FBC" w:rsidTr="00EA412C">
        <w:tc>
          <w:tcPr>
            <w:tcW w:w="476" w:type="dxa"/>
            <w:tcMar>
              <w:left w:w="57" w:type="dxa"/>
              <w:right w:w="57" w:type="dxa"/>
            </w:tcMar>
            <w:vAlign w:val="center"/>
          </w:tcPr>
          <w:p w14:paraId="4D554F0C" w14:textId="77777777" w:rsidR="00EA412C" w:rsidRPr="00791489" w:rsidRDefault="00EA412C" w:rsidP="00E64A4A">
            <w:pPr>
              <w:spacing w:before="120" w:after="120"/>
              <w:rPr>
                <w:rFonts w:ascii="Verdana" w:hAnsi="Verdana"/>
                <w:i/>
                <w:color w:val="231F20"/>
                <w:sz w:val="18"/>
              </w:rPr>
            </w:pPr>
          </w:p>
        </w:tc>
        <w:tc>
          <w:tcPr>
            <w:tcW w:w="13817" w:type="dxa"/>
            <w:gridSpan w:val="5"/>
            <w:vAlign w:val="center"/>
          </w:tcPr>
          <w:p w14:paraId="71DABB5A" w14:textId="27F717B5" w:rsidR="00EA412C" w:rsidRPr="00791489" w:rsidRDefault="00EA412C" w:rsidP="00E64A4A">
            <w:pPr>
              <w:spacing w:before="120" w:after="120"/>
              <w:rPr>
                <w:rFonts w:ascii="Verdana" w:hAnsi="Verdana"/>
                <w:i/>
                <w:color w:val="231F20"/>
                <w:sz w:val="18"/>
              </w:rPr>
            </w:pPr>
            <w:r w:rsidRPr="00791489">
              <w:rPr>
                <w:rFonts w:ascii="Verdana" w:hAnsi="Verdana"/>
                <w:i/>
                <w:color w:val="231F20"/>
                <w:sz w:val="18"/>
              </w:rPr>
              <w:t>Policy about the management of CDR data</w:t>
            </w:r>
          </w:p>
        </w:tc>
      </w:tr>
      <w:tr w:rsidR="00EA412C" w:rsidRPr="00791489" w14:paraId="6A72531F" w14:textId="024F9558" w:rsidTr="0076467E">
        <w:tc>
          <w:tcPr>
            <w:tcW w:w="476" w:type="dxa"/>
            <w:tcMar>
              <w:left w:w="57" w:type="dxa"/>
              <w:right w:w="57" w:type="dxa"/>
            </w:tcMar>
            <w:vAlign w:val="center"/>
          </w:tcPr>
          <w:p w14:paraId="4255944F" w14:textId="77777777" w:rsidR="00EA412C" w:rsidRDefault="00EA412C" w:rsidP="005832DB">
            <w:pPr>
              <w:spacing w:before="120" w:after="120"/>
              <w:rPr>
                <w:rFonts w:ascii="Verdana" w:hAnsi="Verdana"/>
                <w:b/>
                <w:sz w:val="18"/>
              </w:rPr>
            </w:pPr>
          </w:p>
        </w:tc>
        <w:tc>
          <w:tcPr>
            <w:tcW w:w="1685" w:type="dxa"/>
          </w:tcPr>
          <w:p w14:paraId="5CAB273C" w14:textId="5CC66676" w:rsidR="00EA412C" w:rsidRDefault="00EA412C" w:rsidP="005832DB">
            <w:pPr>
              <w:spacing w:before="120" w:after="120"/>
              <w:rPr>
                <w:rFonts w:ascii="Verdana" w:hAnsi="Verdana"/>
                <w:b/>
                <w:sz w:val="18"/>
              </w:rPr>
            </w:pPr>
            <w:r>
              <w:rPr>
                <w:rFonts w:ascii="Verdana" w:hAnsi="Verdana"/>
                <w:b/>
                <w:sz w:val="18"/>
              </w:rPr>
              <w:t>Act</w:t>
            </w:r>
            <w:r>
              <w:rPr>
                <w:rFonts w:ascii="Verdana" w:hAnsi="Verdana"/>
                <w:b/>
                <w:sz w:val="18"/>
              </w:rPr>
              <w:br/>
              <w:t>56ED(3)</w:t>
            </w:r>
          </w:p>
        </w:tc>
        <w:tc>
          <w:tcPr>
            <w:tcW w:w="12132" w:type="dxa"/>
            <w:gridSpan w:val="4"/>
            <w:vAlign w:val="center"/>
          </w:tcPr>
          <w:p w14:paraId="4220FC94" w14:textId="238B2CD0" w:rsidR="00EA412C" w:rsidRPr="00EF723A" w:rsidRDefault="00EA412C" w:rsidP="00EF723A">
            <w:pPr>
              <w:spacing w:before="120" w:after="120"/>
              <w:rPr>
                <w:rFonts w:ascii="Verdana" w:hAnsi="Verdana"/>
                <w:sz w:val="18"/>
              </w:rPr>
            </w:pPr>
            <w:r w:rsidRPr="00EF723A">
              <w:rPr>
                <w:rFonts w:ascii="Verdana" w:hAnsi="Verdana"/>
                <w:sz w:val="18"/>
              </w:rPr>
              <w:t>The CDR entity must have and maintain a clearly expressed and up-to-date policy that:</w:t>
            </w:r>
          </w:p>
        </w:tc>
      </w:tr>
      <w:tr w:rsidR="00EA412C" w:rsidRPr="00791489" w14:paraId="682CDC18" w14:textId="1766F4D6" w:rsidTr="0076467E">
        <w:tc>
          <w:tcPr>
            <w:tcW w:w="476" w:type="dxa"/>
            <w:tcMar>
              <w:left w:w="57" w:type="dxa"/>
              <w:right w:w="57" w:type="dxa"/>
            </w:tcMar>
            <w:vAlign w:val="center"/>
          </w:tcPr>
          <w:p w14:paraId="4C89457C" w14:textId="77777777" w:rsidR="00EA412C" w:rsidRPr="001D0BE7" w:rsidRDefault="00EA412C" w:rsidP="00E64A4A">
            <w:pPr>
              <w:spacing w:before="120" w:after="120"/>
              <w:jc w:val="right"/>
              <w:rPr>
                <w:rFonts w:ascii="Verdana" w:hAnsi="Verdana"/>
                <w:sz w:val="18"/>
              </w:rPr>
            </w:pPr>
          </w:p>
        </w:tc>
        <w:tc>
          <w:tcPr>
            <w:tcW w:w="1685" w:type="dxa"/>
          </w:tcPr>
          <w:p w14:paraId="792933D4" w14:textId="68277390" w:rsidR="00EA412C" w:rsidRPr="001D0BE7" w:rsidRDefault="00EA412C" w:rsidP="00E64A4A">
            <w:pPr>
              <w:spacing w:before="120" w:after="120"/>
              <w:jc w:val="right"/>
              <w:rPr>
                <w:rFonts w:ascii="Verdana" w:hAnsi="Verdana"/>
                <w:sz w:val="18"/>
              </w:rPr>
            </w:pPr>
            <w:r w:rsidRPr="001D0BE7">
              <w:rPr>
                <w:rFonts w:ascii="Verdana" w:hAnsi="Verdana"/>
                <w:sz w:val="18"/>
              </w:rPr>
              <w:t>(a)</w:t>
            </w:r>
          </w:p>
        </w:tc>
        <w:tc>
          <w:tcPr>
            <w:tcW w:w="4638" w:type="dxa"/>
          </w:tcPr>
          <w:p w14:paraId="3CB649D2" w14:textId="11A06695" w:rsidR="00EA412C" w:rsidRPr="0076305F" w:rsidRDefault="00EA412C" w:rsidP="00E64A4A">
            <w:pPr>
              <w:spacing w:before="120" w:after="120"/>
              <w:rPr>
                <w:rFonts w:ascii="Verdana" w:hAnsi="Verdana"/>
                <w:sz w:val="18"/>
              </w:rPr>
            </w:pPr>
            <w:r w:rsidRPr="00733806">
              <w:rPr>
                <w:rFonts w:ascii="Verdana" w:hAnsi="Verdana"/>
                <w:sz w:val="18"/>
              </w:rPr>
              <w:t>is about the CDR entity’s management of CDR data; and</w:t>
            </w:r>
          </w:p>
        </w:tc>
        <w:tc>
          <w:tcPr>
            <w:tcW w:w="5045" w:type="dxa"/>
          </w:tcPr>
          <w:p w14:paraId="383AD63B" w14:textId="4A3642B6" w:rsidR="00EA412C" w:rsidRPr="00791489" w:rsidRDefault="00EA412C" w:rsidP="00E64A4A">
            <w:pPr>
              <w:spacing w:before="120" w:after="120"/>
              <w:rPr>
                <w:rFonts w:ascii="Verdana" w:hAnsi="Verdana"/>
                <w:sz w:val="18"/>
              </w:rPr>
            </w:pPr>
          </w:p>
        </w:tc>
        <w:tc>
          <w:tcPr>
            <w:tcW w:w="1243" w:type="dxa"/>
            <w:shd w:val="clear" w:color="auto" w:fill="92D050"/>
            <w:vAlign w:val="center"/>
          </w:tcPr>
          <w:p w14:paraId="44396036" w14:textId="72C14B87" w:rsidR="00EA412C" w:rsidRPr="00791489" w:rsidRDefault="00EA412C" w:rsidP="009069A2">
            <w:pPr>
              <w:spacing w:before="120" w:after="120"/>
              <w:jc w:val="center"/>
              <w:rPr>
                <w:rFonts w:ascii="Verdana" w:hAnsi="Verdana"/>
                <w:sz w:val="18"/>
              </w:rPr>
            </w:pPr>
            <w:r>
              <w:rPr>
                <w:rFonts w:ascii="Verdana" w:hAnsi="Verdana"/>
                <w:sz w:val="18"/>
              </w:rPr>
              <w:t>Yes</w:t>
            </w:r>
          </w:p>
        </w:tc>
        <w:tc>
          <w:tcPr>
            <w:tcW w:w="1206" w:type="dxa"/>
            <w:shd w:val="clear" w:color="auto" w:fill="92D050"/>
            <w:vAlign w:val="center"/>
          </w:tcPr>
          <w:p w14:paraId="63CB749B" w14:textId="6CA2FF55" w:rsidR="00EA412C" w:rsidRPr="00791489" w:rsidRDefault="00EA412C" w:rsidP="00DB2992">
            <w:pPr>
              <w:spacing w:before="120" w:after="120"/>
              <w:jc w:val="center"/>
              <w:rPr>
                <w:rFonts w:ascii="Verdana" w:hAnsi="Verdana"/>
                <w:sz w:val="18"/>
              </w:rPr>
            </w:pPr>
            <w:r>
              <w:rPr>
                <w:rFonts w:ascii="Verdana" w:hAnsi="Verdana"/>
                <w:sz w:val="18"/>
              </w:rPr>
              <w:t>N/A</w:t>
            </w:r>
          </w:p>
        </w:tc>
      </w:tr>
      <w:tr w:rsidR="00EA412C" w:rsidRPr="00791489" w14:paraId="55610807" w14:textId="01D1A885" w:rsidTr="0076467E">
        <w:tc>
          <w:tcPr>
            <w:tcW w:w="476" w:type="dxa"/>
            <w:tcMar>
              <w:left w:w="57" w:type="dxa"/>
              <w:right w:w="57" w:type="dxa"/>
            </w:tcMar>
            <w:vAlign w:val="center"/>
          </w:tcPr>
          <w:p w14:paraId="0CDC3FAA" w14:textId="77777777" w:rsidR="00EA412C" w:rsidRPr="001D0BE7" w:rsidRDefault="00EA412C" w:rsidP="00E64A4A">
            <w:pPr>
              <w:spacing w:before="120" w:after="120"/>
              <w:jc w:val="right"/>
              <w:rPr>
                <w:rFonts w:ascii="Verdana" w:hAnsi="Verdana"/>
                <w:sz w:val="18"/>
              </w:rPr>
            </w:pPr>
          </w:p>
        </w:tc>
        <w:tc>
          <w:tcPr>
            <w:tcW w:w="1685" w:type="dxa"/>
          </w:tcPr>
          <w:p w14:paraId="0F58FF3C" w14:textId="493B8EA6" w:rsidR="00EA412C" w:rsidRPr="001D0BE7" w:rsidRDefault="00EA412C" w:rsidP="00E64A4A">
            <w:pPr>
              <w:spacing w:before="120" w:after="120"/>
              <w:jc w:val="right"/>
              <w:rPr>
                <w:rFonts w:ascii="Verdana" w:hAnsi="Verdana"/>
                <w:sz w:val="18"/>
              </w:rPr>
            </w:pPr>
            <w:r w:rsidRPr="001D0BE7">
              <w:rPr>
                <w:rFonts w:ascii="Verdana" w:hAnsi="Verdana"/>
                <w:sz w:val="18"/>
              </w:rPr>
              <w:t>(</w:t>
            </w:r>
            <w:r>
              <w:rPr>
                <w:rFonts w:ascii="Verdana" w:hAnsi="Verdana"/>
                <w:sz w:val="18"/>
              </w:rPr>
              <w:t>b</w:t>
            </w:r>
            <w:r w:rsidRPr="001D0BE7">
              <w:rPr>
                <w:rFonts w:ascii="Verdana" w:hAnsi="Verdana"/>
                <w:sz w:val="18"/>
              </w:rPr>
              <w:t>)</w:t>
            </w:r>
          </w:p>
        </w:tc>
        <w:tc>
          <w:tcPr>
            <w:tcW w:w="4638" w:type="dxa"/>
          </w:tcPr>
          <w:p w14:paraId="64444B0E" w14:textId="5B6B453E" w:rsidR="00EA412C" w:rsidRPr="0076305F" w:rsidRDefault="00EA412C" w:rsidP="00733806">
            <w:pPr>
              <w:spacing w:before="120" w:after="120"/>
              <w:rPr>
                <w:rFonts w:ascii="Verdana" w:hAnsi="Verdana"/>
                <w:sz w:val="18"/>
              </w:rPr>
            </w:pPr>
            <w:r w:rsidRPr="00733806">
              <w:rPr>
                <w:rFonts w:ascii="Verdana" w:hAnsi="Verdana"/>
                <w:sz w:val="18"/>
              </w:rPr>
              <w:t>is in a form approved in accordance with the consumer data rules; and</w:t>
            </w:r>
          </w:p>
        </w:tc>
        <w:tc>
          <w:tcPr>
            <w:tcW w:w="5045" w:type="dxa"/>
          </w:tcPr>
          <w:p w14:paraId="2027345D" w14:textId="3F3546D1" w:rsidR="00EA412C" w:rsidRPr="004A4C11" w:rsidRDefault="00EA412C" w:rsidP="00E64A4A">
            <w:pPr>
              <w:spacing w:before="120" w:after="120"/>
              <w:rPr>
                <w:rFonts w:ascii="Verdana" w:hAnsi="Verdana"/>
                <w:iCs/>
                <w:sz w:val="18"/>
              </w:rPr>
            </w:pPr>
            <w:r w:rsidRPr="004A4C11">
              <w:rPr>
                <w:rFonts w:ascii="Verdana" w:hAnsi="Verdana"/>
                <w:iCs/>
                <w:sz w:val="18"/>
              </w:rPr>
              <w:t>Referenced in Rules 7.2 (1)</w:t>
            </w:r>
          </w:p>
          <w:p w14:paraId="22C36B2D" w14:textId="77777777" w:rsidR="00EA412C" w:rsidRDefault="00EA412C" w:rsidP="00EA412C">
            <w:pPr>
              <w:spacing w:before="120" w:after="120"/>
              <w:rPr>
                <w:rFonts w:ascii="Verdana" w:hAnsi="Verdana"/>
                <w:sz w:val="18"/>
              </w:rPr>
            </w:pPr>
            <w:r>
              <w:rPr>
                <w:rFonts w:ascii="Verdana" w:hAnsi="Verdana"/>
                <w:sz w:val="18"/>
              </w:rPr>
              <w:t>There is currently no defined or approved form for a CDR Policy</w:t>
            </w:r>
          </w:p>
          <w:p w14:paraId="3DF3631B" w14:textId="77777777" w:rsidR="00EA412C" w:rsidRDefault="00EA412C" w:rsidP="00EA412C">
            <w:pPr>
              <w:spacing w:before="120" w:after="120"/>
              <w:rPr>
                <w:rFonts w:ascii="Verdana" w:hAnsi="Verdana"/>
                <w:sz w:val="18"/>
              </w:rPr>
            </w:pPr>
            <w:r>
              <w:rPr>
                <w:rFonts w:ascii="Verdana" w:hAnsi="Verdana"/>
                <w:sz w:val="18"/>
              </w:rPr>
              <w:t>There is some really helpful content in here, especially in Step 2 – Develop content, structure and presentation (don’t consider this policy to need to be like any existing policy)</w:t>
            </w:r>
          </w:p>
          <w:p w14:paraId="3D2DE0C5" w14:textId="77777777" w:rsidR="00EA412C" w:rsidRDefault="00EA412C" w:rsidP="00EA412C">
            <w:pPr>
              <w:spacing w:before="120" w:after="120"/>
              <w:rPr>
                <w:rFonts w:ascii="Verdana" w:hAnsi="Verdana"/>
                <w:sz w:val="18"/>
              </w:rPr>
            </w:pPr>
            <w:hyperlink r:id="rId25" w:history="1">
              <w:r>
                <w:rPr>
                  <w:rStyle w:val="Hyperlink"/>
                </w:rPr>
                <w:t>https://www.oaic.gov.au/consumer-data-right/guidance-and-advice/guide-to-developing-a-cdr-policy/</w:t>
              </w:r>
            </w:hyperlink>
          </w:p>
          <w:p w14:paraId="2B004303" w14:textId="2414B6DE" w:rsidR="00EA412C" w:rsidRPr="00602214" w:rsidRDefault="00EA412C" w:rsidP="00EA412C">
            <w:pPr>
              <w:spacing w:before="120" w:after="120"/>
              <w:rPr>
                <w:rFonts w:ascii="Verdana" w:hAnsi="Verdana"/>
                <w:sz w:val="18"/>
              </w:rPr>
            </w:pPr>
            <w:r>
              <w:rPr>
                <w:rFonts w:ascii="Verdana" w:hAnsi="Verdana"/>
                <w:sz w:val="18"/>
              </w:rPr>
              <w:t>The policy will be reviewed by the ACCC as part of the DR accreditation process</w:t>
            </w:r>
          </w:p>
        </w:tc>
        <w:tc>
          <w:tcPr>
            <w:tcW w:w="1243" w:type="dxa"/>
            <w:shd w:val="clear" w:color="auto" w:fill="92D050"/>
            <w:vAlign w:val="center"/>
          </w:tcPr>
          <w:p w14:paraId="44178549" w14:textId="76527131" w:rsidR="00EA412C" w:rsidRPr="00791489" w:rsidRDefault="00EA412C" w:rsidP="009069A2">
            <w:pPr>
              <w:spacing w:before="120" w:after="120"/>
              <w:jc w:val="center"/>
              <w:rPr>
                <w:rFonts w:ascii="Verdana" w:hAnsi="Verdana"/>
                <w:sz w:val="18"/>
              </w:rPr>
            </w:pPr>
            <w:r>
              <w:rPr>
                <w:rFonts w:ascii="Verdana" w:hAnsi="Verdana"/>
                <w:sz w:val="18"/>
              </w:rPr>
              <w:t>Yes</w:t>
            </w:r>
          </w:p>
        </w:tc>
        <w:tc>
          <w:tcPr>
            <w:tcW w:w="1206" w:type="dxa"/>
            <w:shd w:val="clear" w:color="auto" w:fill="92D050"/>
            <w:vAlign w:val="center"/>
          </w:tcPr>
          <w:p w14:paraId="633A9D81" w14:textId="27B5F19A" w:rsidR="00EA412C" w:rsidRPr="00791489" w:rsidRDefault="00EA412C" w:rsidP="00DB2992">
            <w:pPr>
              <w:spacing w:before="120" w:after="120"/>
              <w:jc w:val="center"/>
              <w:rPr>
                <w:rFonts w:ascii="Verdana" w:hAnsi="Verdana"/>
                <w:sz w:val="18"/>
              </w:rPr>
            </w:pPr>
            <w:r>
              <w:rPr>
                <w:rFonts w:ascii="Verdana" w:hAnsi="Verdana"/>
                <w:sz w:val="18"/>
              </w:rPr>
              <w:t>Yes</w:t>
            </w:r>
          </w:p>
        </w:tc>
      </w:tr>
      <w:tr w:rsidR="00EA412C" w:rsidRPr="00791489" w14:paraId="19292233" w14:textId="77D93B9B" w:rsidTr="0076467E">
        <w:tc>
          <w:tcPr>
            <w:tcW w:w="476" w:type="dxa"/>
            <w:tcMar>
              <w:left w:w="57" w:type="dxa"/>
              <w:right w:w="57" w:type="dxa"/>
            </w:tcMar>
            <w:vAlign w:val="center"/>
          </w:tcPr>
          <w:p w14:paraId="5612CAFA" w14:textId="77777777" w:rsidR="00EA412C" w:rsidRDefault="00EA412C" w:rsidP="000673A5">
            <w:pPr>
              <w:spacing w:before="120" w:after="120"/>
              <w:rPr>
                <w:rFonts w:ascii="Verdana" w:hAnsi="Verdana"/>
                <w:b/>
                <w:sz w:val="18"/>
              </w:rPr>
            </w:pPr>
          </w:p>
        </w:tc>
        <w:tc>
          <w:tcPr>
            <w:tcW w:w="1685" w:type="dxa"/>
          </w:tcPr>
          <w:p w14:paraId="64F093FD" w14:textId="78830990" w:rsidR="00EA412C" w:rsidRPr="00A066D7" w:rsidRDefault="00EA412C" w:rsidP="000673A5">
            <w:pPr>
              <w:spacing w:before="120" w:after="120"/>
              <w:rPr>
                <w:rFonts w:ascii="Verdana" w:hAnsi="Verdana"/>
                <w:b/>
                <w:sz w:val="18"/>
              </w:rPr>
            </w:pPr>
            <w:r>
              <w:rPr>
                <w:rFonts w:ascii="Verdana" w:hAnsi="Verdana"/>
                <w:b/>
                <w:sz w:val="18"/>
              </w:rPr>
              <w:t>Act</w:t>
            </w:r>
            <w:r>
              <w:rPr>
                <w:rFonts w:ascii="Verdana" w:hAnsi="Verdana"/>
                <w:b/>
                <w:sz w:val="18"/>
              </w:rPr>
              <w:br/>
              <w:t>56ED(4)</w:t>
            </w:r>
          </w:p>
        </w:tc>
        <w:tc>
          <w:tcPr>
            <w:tcW w:w="12132" w:type="dxa"/>
            <w:gridSpan w:val="4"/>
            <w:vAlign w:val="center"/>
          </w:tcPr>
          <w:p w14:paraId="63D09E58" w14:textId="5193B259" w:rsidR="00EA412C" w:rsidRPr="0076305F" w:rsidRDefault="00EA412C" w:rsidP="000673A5">
            <w:pPr>
              <w:spacing w:before="120" w:after="120"/>
              <w:rPr>
                <w:rFonts w:ascii="Verdana" w:hAnsi="Verdana"/>
                <w:sz w:val="18"/>
              </w:rPr>
            </w:pPr>
            <w:r w:rsidRPr="0076305F">
              <w:rPr>
                <w:rFonts w:ascii="Verdana" w:hAnsi="Verdana"/>
                <w:sz w:val="18"/>
              </w:rPr>
              <w:t xml:space="preserve">If the CDR entity is a </w:t>
            </w:r>
            <w:r w:rsidRPr="00FD6228">
              <w:rPr>
                <w:rFonts w:ascii="Verdana" w:hAnsi="Verdana"/>
                <w:b/>
                <w:sz w:val="18"/>
              </w:rPr>
              <w:t>data holder</w:t>
            </w:r>
            <w:r w:rsidRPr="0076305F">
              <w:rPr>
                <w:rFonts w:ascii="Verdana" w:hAnsi="Verdana"/>
                <w:sz w:val="18"/>
              </w:rPr>
              <w:t xml:space="preserve"> of any CDR data, the CDR</w:t>
            </w:r>
            <w:r>
              <w:rPr>
                <w:rFonts w:ascii="Verdana" w:hAnsi="Verdana"/>
                <w:sz w:val="18"/>
              </w:rPr>
              <w:t xml:space="preserve"> </w:t>
            </w:r>
            <w:r w:rsidRPr="0076305F">
              <w:rPr>
                <w:rFonts w:ascii="Verdana" w:hAnsi="Verdana"/>
                <w:sz w:val="18"/>
              </w:rPr>
              <w:t>entity’s policy must contain the following information:</w:t>
            </w:r>
          </w:p>
        </w:tc>
      </w:tr>
      <w:tr w:rsidR="00EA412C" w:rsidRPr="00791489" w14:paraId="4361F37A" w14:textId="19CA08BB" w:rsidTr="0076467E">
        <w:tc>
          <w:tcPr>
            <w:tcW w:w="476" w:type="dxa"/>
            <w:tcMar>
              <w:left w:w="57" w:type="dxa"/>
              <w:right w:w="57" w:type="dxa"/>
            </w:tcMar>
            <w:vAlign w:val="center"/>
          </w:tcPr>
          <w:p w14:paraId="215A6A99" w14:textId="72677226" w:rsidR="00EA412C" w:rsidRPr="001D0BE7" w:rsidRDefault="00EA412C" w:rsidP="001D0BE7">
            <w:pPr>
              <w:spacing w:before="120" w:after="120"/>
              <w:jc w:val="right"/>
              <w:rPr>
                <w:rFonts w:ascii="Verdana" w:hAnsi="Verdana"/>
                <w:sz w:val="18"/>
              </w:rPr>
            </w:pPr>
            <w:r>
              <w:rPr>
                <w:rFonts w:ascii="Verdana" w:hAnsi="Verdana"/>
                <w:b/>
                <w:noProof/>
                <w:sz w:val="18"/>
              </w:rPr>
              <w:drawing>
                <wp:inline distT="0" distB="0" distL="0" distR="0" wp14:anchorId="05932155" wp14:editId="7872615D">
                  <wp:extent cx="230400" cy="230400"/>
                  <wp:effectExtent l="0" t="0" r="0" b="0"/>
                  <wp:docPr id="578491909" name="Picture 578491909"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circled-h-9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inline>
              </w:drawing>
            </w:r>
          </w:p>
        </w:tc>
        <w:tc>
          <w:tcPr>
            <w:tcW w:w="1685" w:type="dxa"/>
          </w:tcPr>
          <w:p w14:paraId="3AC4C246" w14:textId="2A01C7CA" w:rsidR="00EA412C" w:rsidRPr="001D0BE7" w:rsidRDefault="00EA412C" w:rsidP="001D0BE7">
            <w:pPr>
              <w:spacing w:before="120" w:after="120"/>
              <w:jc w:val="right"/>
              <w:rPr>
                <w:rFonts w:ascii="Verdana" w:hAnsi="Verdana"/>
                <w:sz w:val="18"/>
              </w:rPr>
            </w:pPr>
            <w:r w:rsidRPr="001D0BE7">
              <w:rPr>
                <w:rFonts w:ascii="Verdana" w:hAnsi="Verdana"/>
                <w:sz w:val="18"/>
              </w:rPr>
              <w:t>(a)</w:t>
            </w:r>
          </w:p>
        </w:tc>
        <w:tc>
          <w:tcPr>
            <w:tcW w:w="4638" w:type="dxa"/>
          </w:tcPr>
          <w:p w14:paraId="295DD4CB" w14:textId="336BD783" w:rsidR="00EA412C" w:rsidRPr="0076305F" w:rsidRDefault="00EA412C" w:rsidP="00E64A4A">
            <w:pPr>
              <w:spacing w:before="120" w:after="120"/>
              <w:rPr>
                <w:rFonts w:ascii="Verdana" w:hAnsi="Verdana"/>
                <w:sz w:val="18"/>
              </w:rPr>
            </w:pPr>
            <w:r w:rsidRPr="000F488B">
              <w:rPr>
                <w:rFonts w:ascii="Verdana" w:hAnsi="Verdana"/>
                <w:sz w:val="18"/>
              </w:rPr>
              <w:t>how a CDR consumer for the CDR data may access the CDR data and seek the correction of the CDR data;</w:t>
            </w:r>
          </w:p>
        </w:tc>
        <w:tc>
          <w:tcPr>
            <w:tcW w:w="5045" w:type="dxa"/>
          </w:tcPr>
          <w:p w14:paraId="0FB92FAA" w14:textId="6AA6D6AE" w:rsidR="00EA412C" w:rsidRPr="00791489" w:rsidRDefault="0076467E" w:rsidP="00E64A4A">
            <w:pPr>
              <w:spacing w:before="120" w:after="120"/>
              <w:rPr>
                <w:rFonts w:ascii="Verdana" w:hAnsi="Verdana"/>
                <w:sz w:val="18"/>
              </w:rPr>
            </w:pPr>
            <w:r>
              <w:rPr>
                <w:rFonts w:ascii="Verdana" w:hAnsi="Verdana"/>
                <w:sz w:val="18"/>
              </w:rPr>
              <w:t xml:space="preserve">As a DR this doesn’t apply to us </w:t>
            </w:r>
            <w:r w:rsidR="00260F28">
              <w:rPr>
                <w:rFonts w:ascii="Verdana" w:hAnsi="Verdana"/>
                <w:sz w:val="18"/>
              </w:rPr>
              <w:t xml:space="preserve">yet </w:t>
            </w:r>
            <w:r>
              <w:rPr>
                <w:rFonts w:ascii="Verdana" w:hAnsi="Verdana"/>
                <w:sz w:val="18"/>
              </w:rPr>
              <w:t>and our</w:t>
            </w:r>
            <w:r w:rsidR="00EA412C">
              <w:rPr>
                <w:rFonts w:ascii="Verdana" w:hAnsi="Verdana"/>
                <w:sz w:val="18"/>
              </w:rPr>
              <w:t xml:space="preserve"> use case </w:t>
            </w:r>
            <w:r w:rsidR="00260F28">
              <w:rPr>
                <w:rFonts w:ascii="Verdana" w:hAnsi="Verdana"/>
                <w:sz w:val="18"/>
              </w:rPr>
              <w:t xml:space="preserve">but these will be </w:t>
            </w:r>
            <w:r w:rsidR="00EA412C">
              <w:rPr>
                <w:rFonts w:ascii="Verdana" w:hAnsi="Verdana"/>
                <w:sz w:val="18"/>
              </w:rPr>
              <w:t xml:space="preserve">needed down the track so we will include. </w:t>
            </w:r>
          </w:p>
        </w:tc>
        <w:tc>
          <w:tcPr>
            <w:tcW w:w="1243" w:type="dxa"/>
            <w:shd w:val="clear" w:color="auto" w:fill="92D050"/>
            <w:vAlign w:val="center"/>
          </w:tcPr>
          <w:p w14:paraId="4E663DE9" w14:textId="75C0DE30" w:rsidR="00EA412C" w:rsidRPr="00791489" w:rsidRDefault="0076467E" w:rsidP="009069A2">
            <w:pPr>
              <w:spacing w:before="120" w:after="120"/>
              <w:jc w:val="center"/>
              <w:rPr>
                <w:rFonts w:ascii="Verdana" w:hAnsi="Verdana"/>
                <w:sz w:val="18"/>
              </w:rPr>
            </w:pPr>
            <w:r>
              <w:rPr>
                <w:rFonts w:ascii="Verdana" w:hAnsi="Verdana"/>
                <w:sz w:val="18"/>
              </w:rPr>
              <w:t>Yes</w:t>
            </w:r>
          </w:p>
        </w:tc>
        <w:tc>
          <w:tcPr>
            <w:tcW w:w="1206" w:type="dxa"/>
            <w:shd w:val="clear" w:color="auto" w:fill="FFC000"/>
            <w:vAlign w:val="center"/>
          </w:tcPr>
          <w:p w14:paraId="76BDAE12" w14:textId="186CB940" w:rsidR="00EA412C" w:rsidRPr="00791489" w:rsidRDefault="0076467E" w:rsidP="00DB2992">
            <w:pPr>
              <w:spacing w:before="120" w:after="120"/>
              <w:jc w:val="center"/>
              <w:rPr>
                <w:rFonts w:ascii="Verdana" w:hAnsi="Verdana"/>
                <w:sz w:val="18"/>
              </w:rPr>
            </w:pPr>
            <w:r>
              <w:rPr>
                <w:rFonts w:ascii="Verdana" w:hAnsi="Verdana"/>
                <w:sz w:val="18"/>
              </w:rPr>
              <w:t xml:space="preserve">Not </w:t>
            </w:r>
            <w:r w:rsidR="00260F28">
              <w:rPr>
                <w:rFonts w:ascii="Verdana" w:hAnsi="Verdana"/>
                <w:sz w:val="18"/>
              </w:rPr>
              <w:t>Yet</w:t>
            </w:r>
          </w:p>
        </w:tc>
      </w:tr>
      <w:tr w:rsidR="00260F28" w:rsidRPr="00791489" w14:paraId="5859C0FE" w14:textId="70EA3CC9" w:rsidTr="00260F28">
        <w:tc>
          <w:tcPr>
            <w:tcW w:w="476" w:type="dxa"/>
            <w:tcMar>
              <w:left w:w="57" w:type="dxa"/>
              <w:right w:w="57" w:type="dxa"/>
            </w:tcMar>
            <w:vAlign w:val="center"/>
          </w:tcPr>
          <w:p w14:paraId="4B251A15" w14:textId="6C2D15AD" w:rsidR="00260F28" w:rsidRPr="001D0BE7" w:rsidRDefault="00260F28" w:rsidP="00260F28">
            <w:pPr>
              <w:spacing w:before="120" w:after="120"/>
              <w:jc w:val="right"/>
              <w:rPr>
                <w:rFonts w:ascii="Verdana" w:hAnsi="Verdana"/>
                <w:sz w:val="18"/>
              </w:rPr>
            </w:pPr>
            <w:r>
              <w:rPr>
                <w:rFonts w:ascii="Verdana" w:hAnsi="Verdana"/>
                <w:b/>
                <w:noProof/>
                <w:sz w:val="18"/>
              </w:rPr>
              <w:drawing>
                <wp:inline distT="0" distB="0" distL="0" distR="0" wp14:anchorId="18A56BBC" wp14:editId="1D22D5B4">
                  <wp:extent cx="230400" cy="230400"/>
                  <wp:effectExtent l="0" t="0" r="0" b="0"/>
                  <wp:docPr id="578491910" name="Picture 578491910"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circled-h-9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inline>
              </w:drawing>
            </w:r>
          </w:p>
        </w:tc>
        <w:tc>
          <w:tcPr>
            <w:tcW w:w="1685" w:type="dxa"/>
          </w:tcPr>
          <w:p w14:paraId="767A7E23" w14:textId="24B83DBC" w:rsidR="00260F28" w:rsidRPr="001D0BE7" w:rsidRDefault="00260F28" w:rsidP="00260F28">
            <w:pPr>
              <w:spacing w:before="120" w:after="120"/>
              <w:jc w:val="right"/>
              <w:rPr>
                <w:rFonts w:ascii="Verdana" w:hAnsi="Verdana"/>
                <w:sz w:val="18"/>
              </w:rPr>
            </w:pPr>
            <w:r w:rsidRPr="001D0BE7">
              <w:rPr>
                <w:rFonts w:ascii="Verdana" w:hAnsi="Verdana"/>
                <w:sz w:val="18"/>
              </w:rPr>
              <w:t>(b)</w:t>
            </w:r>
          </w:p>
        </w:tc>
        <w:tc>
          <w:tcPr>
            <w:tcW w:w="4638" w:type="dxa"/>
          </w:tcPr>
          <w:p w14:paraId="5445FD20" w14:textId="77777777" w:rsidR="00260F28" w:rsidRPr="0076305F" w:rsidRDefault="00260F28" w:rsidP="00260F28">
            <w:pPr>
              <w:spacing w:before="120" w:after="120"/>
              <w:rPr>
                <w:rFonts w:ascii="Verdana" w:hAnsi="Verdana"/>
                <w:sz w:val="18"/>
              </w:rPr>
            </w:pPr>
            <w:r w:rsidRPr="000673A5">
              <w:rPr>
                <w:rFonts w:ascii="Verdana" w:hAnsi="Verdana"/>
                <w:sz w:val="18"/>
              </w:rPr>
              <w:t xml:space="preserve">how a CDR consumer for the CDR data may complain about a failure of the CDR entity to comply with this Part or the consumer data </w:t>
            </w:r>
            <w:r w:rsidRPr="000673A5">
              <w:rPr>
                <w:rFonts w:ascii="Verdana" w:hAnsi="Verdana"/>
                <w:sz w:val="18"/>
              </w:rPr>
              <w:lastRenderedPageBreak/>
              <w:t>rules, and how the CDR entity will deal with such a complaint.</w:t>
            </w:r>
          </w:p>
        </w:tc>
        <w:tc>
          <w:tcPr>
            <w:tcW w:w="5045" w:type="dxa"/>
          </w:tcPr>
          <w:p w14:paraId="1E844C20" w14:textId="77777777" w:rsidR="00260F28" w:rsidRDefault="00260F28" w:rsidP="00260F28">
            <w:pPr>
              <w:spacing w:before="120" w:after="120"/>
              <w:rPr>
                <w:rFonts w:ascii="Verdana" w:hAnsi="Verdana"/>
                <w:sz w:val="18"/>
              </w:rPr>
            </w:pPr>
            <w:r>
              <w:rPr>
                <w:rFonts w:ascii="Verdana" w:hAnsi="Verdana"/>
                <w:sz w:val="18"/>
              </w:rPr>
              <w:lastRenderedPageBreak/>
              <w:t xml:space="preserve">As a DR this doesn’t apply to us yet and our use case but these will be needed down the track so we will include. </w:t>
            </w:r>
          </w:p>
          <w:p w14:paraId="1C0C8A92" w14:textId="62CAB7FA" w:rsidR="00260F28" w:rsidRPr="00BE516C" w:rsidRDefault="00260F28" w:rsidP="00260F28">
            <w:pPr>
              <w:spacing w:before="120" w:after="120"/>
              <w:rPr>
                <w:rFonts w:ascii="Verdana" w:hAnsi="Verdana"/>
                <w:iCs/>
                <w:sz w:val="18"/>
              </w:rPr>
            </w:pPr>
            <w:r w:rsidRPr="00BE516C">
              <w:rPr>
                <w:rFonts w:ascii="Verdana" w:hAnsi="Verdana"/>
                <w:iCs/>
                <w:sz w:val="18"/>
              </w:rPr>
              <w:lastRenderedPageBreak/>
              <w:t xml:space="preserve">See Rule 7.2(6) </w:t>
            </w:r>
            <w:r w:rsidR="00BE516C">
              <w:rPr>
                <w:rFonts w:ascii="Verdana" w:hAnsi="Verdana"/>
                <w:iCs/>
                <w:sz w:val="18"/>
              </w:rPr>
              <w:t>on dispute resolution</w:t>
            </w:r>
          </w:p>
        </w:tc>
        <w:tc>
          <w:tcPr>
            <w:tcW w:w="1243" w:type="dxa"/>
            <w:shd w:val="clear" w:color="auto" w:fill="92D050"/>
            <w:vAlign w:val="center"/>
          </w:tcPr>
          <w:p w14:paraId="282CC3A1" w14:textId="636F8FAA" w:rsidR="00260F28" w:rsidRPr="00791489" w:rsidRDefault="00260F28" w:rsidP="00260F28">
            <w:pPr>
              <w:spacing w:before="120" w:after="120"/>
              <w:jc w:val="center"/>
              <w:rPr>
                <w:rFonts w:ascii="Verdana" w:hAnsi="Verdana"/>
                <w:sz w:val="18"/>
              </w:rPr>
            </w:pPr>
            <w:r>
              <w:rPr>
                <w:rFonts w:ascii="Verdana" w:hAnsi="Verdana"/>
                <w:sz w:val="18"/>
              </w:rPr>
              <w:lastRenderedPageBreak/>
              <w:t>No</w:t>
            </w:r>
          </w:p>
        </w:tc>
        <w:tc>
          <w:tcPr>
            <w:tcW w:w="1206" w:type="dxa"/>
            <w:shd w:val="clear" w:color="auto" w:fill="FFC000"/>
            <w:vAlign w:val="center"/>
          </w:tcPr>
          <w:p w14:paraId="652AEBAB" w14:textId="570340EC" w:rsidR="00260F28" w:rsidRPr="00791489" w:rsidRDefault="00260F28" w:rsidP="00260F28">
            <w:pPr>
              <w:spacing w:before="120" w:after="120"/>
              <w:jc w:val="center"/>
              <w:rPr>
                <w:rFonts w:ascii="Verdana" w:hAnsi="Verdana"/>
                <w:sz w:val="18"/>
              </w:rPr>
            </w:pPr>
            <w:r>
              <w:rPr>
                <w:rFonts w:ascii="Verdana" w:hAnsi="Verdana"/>
                <w:sz w:val="18"/>
              </w:rPr>
              <w:t>Not Yet</w:t>
            </w:r>
          </w:p>
        </w:tc>
      </w:tr>
      <w:tr w:rsidR="00EA412C" w:rsidRPr="00791489" w14:paraId="11920441" w14:textId="65D3A6D2" w:rsidTr="0076467E">
        <w:tc>
          <w:tcPr>
            <w:tcW w:w="476" w:type="dxa"/>
            <w:tcMar>
              <w:left w:w="57" w:type="dxa"/>
              <w:right w:w="57" w:type="dxa"/>
            </w:tcMar>
            <w:vAlign w:val="center"/>
          </w:tcPr>
          <w:p w14:paraId="18A62B15" w14:textId="77777777" w:rsidR="00EA412C" w:rsidRDefault="00EA412C" w:rsidP="00E64A4A">
            <w:pPr>
              <w:spacing w:before="120" w:after="120"/>
              <w:rPr>
                <w:rFonts w:ascii="Verdana" w:hAnsi="Verdana"/>
                <w:b/>
                <w:sz w:val="18"/>
              </w:rPr>
            </w:pPr>
          </w:p>
        </w:tc>
        <w:tc>
          <w:tcPr>
            <w:tcW w:w="1685" w:type="dxa"/>
          </w:tcPr>
          <w:p w14:paraId="5DAF1416" w14:textId="696667BA" w:rsidR="00EA412C" w:rsidRPr="00A066D7" w:rsidRDefault="00EA412C" w:rsidP="00E64A4A">
            <w:pPr>
              <w:spacing w:before="120" w:after="120"/>
              <w:rPr>
                <w:rFonts w:ascii="Verdana" w:hAnsi="Verdana"/>
                <w:b/>
                <w:sz w:val="18"/>
              </w:rPr>
            </w:pPr>
            <w:r>
              <w:rPr>
                <w:rFonts w:ascii="Verdana" w:hAnsi="Verdana"/>
                <w:b/>
                <w:sz w:val="18"/>
              </w:rPr>
              <w:t>Act</w:t>
            </w:r>
            <w:r>
              <w:rPr>
                <w:rFonts w:ascii="Verdana" w:hAnsi="Verdana"/>
                <w:b/>
                <w:sz w:val="18"/>
              </w:rPr>
              <w:br/>
              <w:t>56ED(5)</w:t>
            </w:r>
          </w:p>
        </w:tc>
        <w:tc>
          <w:tcPr>
            <w:tcW w:w="12132" w:type="dxa"/>
            <w:gridSpan w:val="4"/>
            <w:vAlign w:val="center"/>
          </w:tcPr>
          <w:p w14:paraId="03B3A3A7" w14:textId="7531C8E8" w:rsidR="00EA412C" w:rsidRPr="00B23A05" w:rsidRDefault="00EA412C" w:rsidP="00B23A05">
            <w:pPr>
              <w:spacing w:before="120" w:after="120"/>
              <w:rPr>
                <w:rFonts w:ascii="Verdana" w:hAnsi="Verdana"/>
                <w:sz w:val="18"/>
              </w:rPr>
            </w:pPr>
            <w:r w:rsidRPr="00B23A05">
              <w:rPr>
                <w:rFonts w:ascii="Verdana" w:hAnsi="Verdana"/>
                <w:sz w:val="18"/>
              </w:rPr>
              <w:t>If the CDR entity is an accredited data recipient of any CDR data, the CDR entity’s policy must contain the following information</w:t>
            </w:r>
            <w:r>
              <w:rPr>
                <w:rFonts w:ascii="Verdana" w:hAnsi="Verdana"/>
                <w:sz w:val="18"/>
              </w:rPr>
              <w:t xml:space="preserve">: </w:t>
            </w:r>
            <w:r>
              <w:rPr>
                <w:rFonts w:ascii="Verdana" w:hAnsi="Verdana"/>
                <w:sz w:val="18"/>
              </w:rPr>
              <w:br/>
            </w:r>
            <w:r w:rsidRPr="00B100F4">
              <w:rPr>
                <w:rFonts w:ascii="Verdana" w:hAnsi="Verdana"/>
                <w:i/>
                <w:sz w:val="18"/>
              </w:rPr>
              <w:t>Referenced in Rules 7.2 (4), 7.2 (4)(d)</w:t>
            </w:r>
          </w:p>
        </w:tc>
      </w:tr>
      <w:tr w:rsidR="00EA412C" w:rsidRPr="00791489" w14:paraId="63DA5045" w14:textId="5FFEDDC6" w:rsidTr="0076467E">
        <w:tc>
          <w:tcPr>
            <w:tcW w:w="476" w:type="dxa"/>
            <w:tcMar>
              <w:left w:w="57" w:type="dxa"/>
              <w:right w:w="57" w:type="dxa"/>
            </w:tcMar>
            <w:vAlign w:val="center"/>
          </w:tcPr>
          <w:p w14:paraId="66FA7895" w14:textId="379BA315" w:rsidR="00EA412C" w:rsidRPr="001D0BE7" w:rsidRDefault="00EA412C" w:rsidP="00E64A4A">
            <w:pPr>
              <w:spacing w:before="120" w:after="120"/>
              <w:jc w:val="right"/>
              <w:rPr>
                <w:rFonts w:ascii="Verdana" w:hAnsi="Verdana"/>
                <w:sz w:val="18"/>
              </w:rPr>
            </w:pPr>
            <w:r>
              <w:rPr>
                <w:rFonts w:ascii="Verdana" w:hAnsi="Verdana"/>
                <w:b/>
                <w:noProof/>
                <w:sz w:val="18"/>
              </w:rPr>
              <w:drawing>
                <wp:inline distT="0" distB="0" distL="0" distR="0" wp14:anchorId="68CC2635" wp14:editId="7AE2A753">
                  <wp:extent cx="213360" cy="213360"/>
                  <wp:effectExtent l="0" t="0" r="0" b="0"/>
                  <wp:docPr id="578491911" name="Picture 5784919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28990EE0" w14:textId="39CF764F" w:rsidR="00EA412C" w:rsidRPr="001D0BE7" w:rsidRDefault="00EA412C" w:rsidP="00E64A4A">
            <w:pPr>
              <w:spacing w:before="120" w:after="120"/>
              <w:jc w:val="right"/>
              <w:rPr>
                <w:rFonts w:ascii="Verdana" w:hAnsi="Verdana"/>
                <w:sz w:val="18"/>
              </w:rPr>
            </w:pPr>
            <w:r w:rsidRPr="001D0BE7">
              <w:rPr>
                <w:rFonts w:ascii="Verdana" w:hAnsi="Verdana"/>
                <w:sz w:val="18"/>
              </w:rPr>
              <w:t>(a)</w:t>
            </w:r>
          </w:p>
        </w:tc>
        <w:tc>
          <w:tcPr>
            <w:tcW w:w="4638" w:type="dxa"/>
          </w:tcPr>
          <w:p w14:paraId="12DC6618" w14:textId="77777777" w:rsidR="00EA412C" w:rsidRPr="00B23A05" w:rsidRDefault="00EA412C" w:rsidP="00E64A4A">
            <w:pPr>
              <w:spacing w:before="120" w:after="120"/>
              <w:rPr>
                <w:rFonts w:ascii="Verdana" w:hAnsi="Verdana"/>
                <w:sz w:val="18"/>
              </w:rPr>
            </w:pPr>
            <w:r w:rsidRPr="00B23A05">
              <w:rPr>
                <w:rFonts w:ascii="Verdana" w:hAnsi="Verdana"/>
                <w:sz w:val="18"/>
              </w:rPr>
              <w:t>the classes of CDR data held by (or on behalf of) the CDR entity as an accredited data recipient, and how such CDR data is held;</w:t>
            </w:r>
          </w:p>
        </w:tc>
        <w:tc>
          <w:tcPr>
            <w:tcW w:w="5045" w:type="dxa"/>
          </w:tcPr>
          <w:p w14:paraId="5D5D0BEC" w14:textId="77777777" w:rsidR="00EA412C" w:rsidRDefault="00EA412C" w:rsidP="00F82D78">
            <w:pPr>
              <w:spacing w:before="120" w:after="120"/>
              <w:rPr>
                <w:rFonts w:ascii="Verdana" w:hAnsi="Verdana"/>
                <w:sz w:val="18"/>
              </w:rPr>
            </w:pPr>
            <w:r>
              <w:rPr>
                <w:rFonts w:ascii="Verdana" w:hAnsi="Verdana"/>
                <w:sz w:val="18"/>
              </w:rPr>
              <w:t>Need to understand what is meant by classes and therefore how we hold this data</w:t>
            </w:r>
          </w:p>
          <w:p w14:paraId="0872D5F5" w14:textId="3FABE5B3" w:rsidR="00EA412C" w:rsidRDefault="00BE516C" w:rsidP="00F82D78">
            <w:pPr>
              <w:spacing w:before="120" w:after="120"/>
              <w:rPr>
                <w:rFonts w:ascii="Verdana" w:hAnsi="Verdana"/>
                <w:sz w:val="18"/>
              </w:rPr>
            </w:pPr>
            <w:r>
              <w:rPr>
                <w:rFonts w:ascii="Verdana" w:hAnsi="Verdana"/>
                <w:sz w:val="18"/>
              </w:rPr>
              <w:t>The</w:t>
            </w:r>
            <w:r w:rsidR="00EA412C" w:rsidRPr="00A4660B">
              <w:rPr>
                <w:rFonts w:ascii="Verdana" w:hAnsi="Verdana"/>
                <w:sz w:val="18"/>
              </w:rPr>
              <w:t xml:space="preserve"> Consumer Data Right (Authorised Deposit</w:t>
            </w:r>
            <w:r w:rsidR="00EA412C" w:rsidRPr="00A4660B">
              <w:rPr>
                <w:rFonts w:ascii="Verdana" w:hAnsi="Verdana"/>
                <w:sz w:val="18"/>
              </w:rPr>
              <w:noBreakHyphen/>
              <w:t>Taking Institutions) Designation 2019 (the Designation) sets out three classes of information for the banking sector: customer information, product use information, and Information on the product</w:t>
            </w:r>
            <w:r w:rsidR="00EA412C">
              <w:rPr>
                <w:rFonts w:ascii="Verdana" w:hAnsi="Verdana"/>
                <w:sz w:val="18"/>
              </w:rPr>
              <w:t>.</w:t>
            </w:r>
          </w:p>
          <w:p w14:paraId="2C455B78" w14:textId="2CD8E1AC" w:rsidR="00EA412C" w:rsidRPr="00791489" w:rsidRDefault="00BE516C" w:rsidP="00F82D78">
            <w:pPr>
              <w:spacing w:before="120" w:after="120"/>
              <w:rPr>
                <w:rFonts w:ascii="Verdana" w:hAnsi="Verdana"/>
                <w:sz w:val="18"/>
              </w:rPr>
            </w:pPr>
            <w:r>
              <w:rPr>
                <w:rFonts w:ascii="Verdana" w:hAnsi="Verdana"/>
                <w:sz w:val="18"/>
              </w:rPr>
              <w:t>This relates to clusters described in the consent flow of the UI and will require an associated statement such as</w:t>
            </w:r>
            <w:r w:rsidRPr="0061259F">
              <w:rPr>
                <w:rFonts w:ascii="Verdana" w:hAnsi="Verdana"/>
                <w:sz w:val="18"/>
              </w:rPr>
              <w:t xml:space="preserve"> </w:t>
            </w:r>
            <w:r w:rsidR="00EA412C" w:rsidRPr="0061259F">
              <w:rPr>
                <w:rFonts w:ascii="Verdana" w:hAnsi="Verdana"/>
                <w:sz w:val="18"/>
              </w:rPr>
              <w:t>“</w:t>
            </w:r>
            <w:r w:rsidR="00EA412C" w:rsidRPr="0061259F">
              <w:rPr>
                <w:rFonts w:ascii="Verdana" w:hAnsi="Verdana"/>
                <w:color w:val="231F20"/>
                <w:sz w:val="18"/>
                <w:szCs w:val="18"/>
              </w:rPr>
              <w:t xml:space="preserve">We may collect up to three types of CDR Data – </w:t>
            </w:r>
            <w:r w:rsidR="00EA412C" w:rsidRPr="0061259F">
              <w:rPr>
                <w:rFonts w:ascii="Verdana" w:hAnsi="Verdana"/>
                <w:sz w:val="18"/>
              </w:rPr>
              <w:t>account product information, account balances and account transactions.”</w:t>
            </w:r>
          </w:p>
        </w:tc>
        <w:tc>
          <w:tcPr>
            <w:tcW w:w="1243" w:type="dxa"/>
            <w:shd w:val="clear" w:color="auto" w:fill="auto"/>
            <w:vAlign w:val="center"/>
          </w:tcPr>
          <w:p w14:paraId="7BD2DFA2" w14:textId="5169EDB2"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4F8EDAFB" w14:textId="36C8D396" w:rsidR="00EA412C" w:rsidRPr="00791489" w:rsidRDefault="00EA412C" w:rsidP="00B6643F">
            <w:pPr>
              <w:spacing w:before="120" w:after="120"/>
              <w:jc w:val="center"/>
              <w:rPr>
                <w:rFonts w:ascii="Verdana" w:hAnsi="Verdana"/>
                <w:sz w:val="18"/>
              </w:rPr>
            </w:pPr>
          </w:p>
        </w:tc>
      </w:tr>
      <w:tr w:rsidR="00EA412C" w:rsidRPr="00791489" w14:paraId="5440396E" w14:textId="37773E80" w:rsidTr="0076467E">
        <w:tc>
          <w:tcPr>
            <w:tcW w:w="476" w:type="dxa"/>
            <w:tcMar>
              <w:left w:w="57" w:type="dxa"/>
              <w:right w:w="57" w:type="dxa"/>
            </w:tcMar>
            <w:vAlign w:val="center"/>
          </w:tcPr>
          <w:p w14:paraId="00292744" w14:textId="05A07F99" w:rsidR="00EA412C" w:rsidRPr="001D0BE7" w:rsidRDefault="00EA412C" w:rsidP="00B23A05">
            <w:pPr>
              <w:spacing w:before="120" w:after="120"/>
              <w:jc w:val="right"/>
              <w:rPr>
                <w:rFonts w:ascii="Verdana" w:hAnsi="Verdana"/>
                <w:sz w:val="18"/>
              </w:rPr>
            </w:pPr>
            <w:r>
              <w:rPr>
                <w:rFonts w:ascii="Verdana" w:hAnsi="Verdana"/>
                <w:b/>
                <w:noProof/>
                <w:sz w:val="18"/>
              </w:rPr>
              <w:drawing>
                <wp:inline distT="0" distB="0" distL="0" distR="0" wp14:anchorId="794BCB66" wp14:editId="6BC6F872">
                  <wp:extent cx="213360" cy="213360"/>
                  <wp:effectExtent l="0" t="0" r="0" b="0"/>
                  <wp:docPr id="578491912" name="Picture 5784919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1A1DDE60" w14:textId="31F0DBB3" w:rsidR="00EA412C" w:rsidRPr="001D0BE7" w:rsidRDefault="00EA412C" w:rsidP="00B23A05">
            <w:pPr>
              <w:spacing w:before="120" w:after="120"/>
              <w:jc w:val="right"/>
              <w:rPr>
                <w:rFonts w:ascii="Verdana" w:hAnsi="Verdana"/>
                <w:sz w:val="18"/>
              </w:rPr>
            </w:pPr>
            <w:r w:rsidRPr="001D0BE7">
              <w:rPr>
                <w:rFonts w:ascii="Verdana" w:hAnsi="Verdana"/>
                <w:sz w:val="18"/>
              </w:rPr>
              <w:t>(</w:t>
            </w:r>
            <w:r>
              <w:rPr>
                <w:rFonts w:ascii="Verdana" w:hAnsi="Verdana"/>
                <w:sz w:val="18"/>
              </w:rPr>
              <w:t>b</w:t>
            </w:r>
            <w:r w:rsidRPr="001D0BE7">
              <w:rPr>
                <w:rFonts w:ascii="Verdana" w:hAnsi="Verdana"/>
                <w:sz w:val="18"/>
              </w:rPr>
              <w:t>)</w:t>
            </w:r>
          </w:p>
        </w:tc>
        <w:tc>
          <w:tcPr>
            <w:tcW w:w="4638" w:type="dxa"/>
          </w:tcPr>
          <w:p w14:paraId="06E8D408" w14:textId="162FCF40" w:rsidR="00EA412C" w:rsidRPr="002E2BDF" w:rsidRDefault="00EA412C" w:rsidP="002E2BDF">
            <w:pPr>
              <w:spacing w:before="120" w:after="120"/>
              <w:rPr>
                <w:rFonts w:ascii="Verdana" w:hAnsi="Verdana"/>
                <w:sz w:val="18"/>
              </w:rPr>
            </w:pPr>
            <w:r w:rsidRPr="002E2BDF">
              <w:rPr>
                <w:rFonts w:ascii="Verdana" w:hAnsi="Verdana"/>
                <w:sz w:val="18"/>
              </w:rPr>
              <w:t>the purposes for which the CDR entity may collect, hold, use</w:t>
            </w:r>
            <w:r>
              <w:rPr>
                <w:rFonts w:ascii="Verdana" w:hAnsi="Verdana"/>
                <w:sz w:val="18"/>
              </w:rPr>
              <w:t xml:space="preserve"> </w:t>
            </w:r>
            <w:r w:rsidRPr="002E2BDF">
              <w:rPr>
                <w:rFonts w:ascii="Verdana" w:hAnsi="Verdana"/>
                <w:sz w:val="18"/>
              </w:rPr>
              <w:t>or disclose such CDR data with the consent of a CDR</w:t>
            </w:r>
            <w:r>
              <w:rPr>
                <w:rFonts w:ascii="Verdana" w:hAnsi="Verdana"/>
                <w:sz w:val="18"/>
              </w:rPr>
              <w:t xml:space="preserve"> </w:t>
            </w:r>
            <w:r w:rsidRPr="002E2BDF">
              <w:rPr>
                <w:rFonts w:ascii="Verdana" w:hAnsi="Verdana"/>
                <w:sz w:val="18"/>
              </w:rPr>
              <w:t>consumer for the CDR data;</w:t>
            </w:r>
          </w:p>
        </w:tc>
        <w:tc>
          <w:tcPr>
            <w:tcW w:w="5045" w:type="dxa"/>
          </w:tcPr>
          <w:p w14:paraId="1D87C2CA" w14:textId="77CC1C9C" w:rsidR="00EA412C" w:rsidRPr="00B100F4" w:rsidRDefault="00EA412C" w:rsidP="00F82D78">
            <w:pPr>
              <w:spacing w:before="120" w:after="120"/>
              <w:rPr>
                <w:rFonts w:ascii="Verdana" w:hAnsi="Verdana"/>
                <w:sz w:val="18"/>
              </w:rPr>
            </w:pPr>
            <w:r>
              <w:rPr>
                <w:rFonts w:ascii="Verdana" w:hAnsi="Verdana"/>
                <w:sz w:val="18"/>
              </w:rPr>
              <w:t xml:space="preserve">The purpose is </w:t>
            </w:r>
            <w:r w:rsidR="00BE516C">
              <w:rPr>
                <w:rFonts w:ascii="Verdana" w:hAnsi="Verdana"/>
                <w:sz w:val="18"/>
              </w:rPr>
              <w:t>defined by the use case and associated software</w:t>
            </w:r>
            <w:r>
              <w:rPr>
                <w:rFonts w:ascii="Verdana" w:hAnsi="Verdana"/>
                <w:sz w:val="18"/>
              </w:rPr>
              <w:t xml:space="preserve"> application so again, hard to be generic here at policy level</w:t>
            </w:r>
            <w:r w:rsidR="00BE516C">
              <w:rPr>
                <w:rFonts w:ascii="Verdana" w:hAnsi="Verdana"/>
                <w:sz w:val="18"/>
              </w:rPr>
              <w:t xml:space="preserve"> but something like this might be appropriate in our use case:</w:t>
            </w:r>
          </w:p>
          <w:p w14:paraId="58F87162" w14:textId="77777777" w:rsidR="00BE516C" w:rsidRDefault="00EA412C" w:rsidP="00F82D78">
            <w:pPr>
              <w:spacing w:before="120" w:after="120"/>
              <w:rPr>
                <w:rFonts w:ascii="Verdana" w:hAnsi="Verdana"/>
                <w:sz w:val="18"/>
              </w:rPr>
            </w:pPr>
            <w:r>
              <w:rPr>
                <w:rFonts w:ascii="Verdana" w:hAnsi="Verdana"/>
                <w:sz w:val="18"/>
              </w:rPr>
              <w:t>“</w:t>
            </w:r>
            <w:r w:rsidRPr="00E1014A">
              <w:rPr>
                <w:rFonts w:ascii="Verdana" w:hAnsi="Verdana"/>
                <w:sz w:val="18"/>
              </w:rPr>
              <w:t>We</w:t>
            </w:r>
            <w:r w:rsidR="00BE516C">
              <w:rPr>
                <w:rFonts w:ascii="Verdana" w:hAnsi="Verdana"/>
                <w:sz w:val="18"/>
              </w:rPr>
              <w:t xml:space="preserve"> are requesting access to your data</w:t>
            </w:r>
            <w:r w:rsidRPr="00E1014A">
              <w:rPr>
                <w:rFonts w:ascii="Verdana" w:hAnsi="Verdana"/>
                <w:sz w:val="18"/>
              </w:rPr>
              <w:t xml:space="preserve"> in order to help us better understand your personal financial situation.  Having access to this data helps us analys</w:t>
            </w:r>
            <w:r w:rsidR="00BE516C">
              <w:rPr>
                <w:rFonts w:ascii="Verdana" w:hAnsi="Verdana"/>
                <w:sz w:val="18"/>
              </w:rPr>
              <w:t>e</w:t>
            </w:r>
            <w:r w:rsidRPr="00E1014A">
              <w:rPr>
                <w:rFonts w:ascii="Verdana" w:hAnsi="Verdana"/>
                <w:sz w:val="18"/>
              </w:rPr>
              <w:t xml:space="preserve"> your spending and saving habits</w:t>
            </w:r>
            <w:r w:rsidR="00BE516C">
              <w:rPr>
                <w:rFonts w:ascii="Verdana" w:hAnsi="Verdana"/>
                <w:sz w:val="18"/>
              </w:rPr>
              <w:t xml:space="preserve"> to provide insights into your financial health and</w:t>
            </w:r>
            <w:r w:rsidRPr="00E1014A">
              <w:rPr>
                <w:rFonts w:ascii="Verdana" w:hAnsi="Verdana"/>
                <w:sz w:val="18"/>
              </w:rPr>
              <w:t xml:space="preserve"> to assist with </w:t>
            </w:r>
            <w:r w:rsidR="00BE516C">
              <w:rPr>
                <w:rFonts w:ascii="Verdana" w:hAnsi="Verdana"/>
                <w:sz w:val="18"/>
              </w:rPr>
              <w:t>your</w:t>
            </w:r>
            <w:r w:rsidRPr="00E1014A">
              <w:rPr>
                <w:rFonts w:ascii="Verdana" w:hAnsi="Verdana"/>
                <w:sz w:val="18"/>
              </w:rPr>
              <w:t xml:space="preserve"> loan application</w:t>
            </w:r>
            <w:r w:rsidR="00BE516C">
              <w:rPr>
                <w:rFonts w:ascii="Verdana" w:hAnsi="Verdana"/>
                <w:sz w:val="18"/>
              </w:rPr>
              <w:t>.”</w:t>
            </w:r>
          </w:p>
          <w:p w14:paraId="2D1AF180" w14:textId="29CE40D2" w:rsidR="00EA412C" w:rsidRPr="00E1014A" w:rsidRDefault="00BE516C" w:rsidP="00F82D78">
            <w:pPr>
              <w:spacing w:before="120" w:after="120"/>
              <w:rPr>
                <w:rFonts w:ascii="Verdana" w:hAnsi="Verdana"/>
                <w:sz w:val="18"/>
              </w:rPr>
            </w:pPr>
            <w:r>
              <w:rPr>
                <w:rFonts w:ascii="Verdana" w:hAnsi="Verdana"/>
                <w:sz w:val="18"/>
              </w:rPr>
              <w:t>Another example might be “…and</w:t>
            </w:r>
            <w:r w:rsidR="00EA412C" w:rsidRPr="00E1014A">
              <w:rPr>
                <w:rFonts w:ascii="Verdana" w:hAnsi="Verdana"/>
                <w:sz w:val="18"/>
              </w:rPr>
              <w:t xml:space="preserve"> detect</w:t>
            </w:r>
            <w:r>
              <w:rPr>
                <w:rFonts w:ascii="Verdana" w:hAnsi="Verdana"/>
                <w:sz w:val="18"/>
              </w:rPr>
              <w:t xml:space="preserve"> </w:t>
            </w:r>
            <w:r w:rsidR="00EA412C" w:rsidRPr="00E1014A">
              <w:rPr>
                <w:rFonts w:ascii="Verdana" w:hAnsi="Verdana"/>
                <w:sz w:val="18"/>
              </w:rPr>
              <w:t>unusual transactions that might be fraudulent</w:t>
            </w:r>
            <w:r>
              <w:rPr>
                <w:rFonts w:ascii="Verdana" w:hAnsi="Verdana"/>
                <w:sz w:val="18"/>
              </w:rPr>
              <w:t>…”</w:t>
            </w:r>
          </w:p>
        </w:tc>
        <w:tc>
          <w:tcPr>
            <w:tcW w:w="1243" w:type="dxa"/>
            <w:shd w:val="clear" w:color="auto" w:fill="auto"/>
            <w:vAlign w:val="center"/>
          </w:tcPr>
          <w:p w14:paraId="7DAF96FC" w14:textId="47F45B83"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74A581AC" w14:textId="67D09516" w:rsidR="00EA412C" w:rsidRPr="00791489" w:rsidRDefault="00EA412C" w:rsidP="00DB5622">
            <w:pPr>
              <w:spacing w:before="120" w:after="120"/>
              <w:jc w:val="center"/>
              <w:rPr>
                <w:rFonts w:ascii="Verdana" w:hAnsi="Verdana"/>
                <w:sz w:val="18"/>
              </w:rPr>
            </w:pPr>
          </w:p>
        </w:tc>
      </w:tr>
      <w:tr w:rsidR="00EA412C" w:rsidRPr="00791489" w14:paraId="56A9E647" w14:textId="2CF3E8E7" w:rsidTr="0076467E">
        <w:tc>
          <w:tcPr>
            <w:tcW w:w="476" w:type="dxa"/>
            <w:tcMar>
              <w:left w:w="57" w:type="dxa"/>
              <w:right w:w="57" w:type="dxa"/>
            </w:tcMar>
            <w:vAlign w:val="center"/>
          </w:tcPr>
          <w:p w14:paraId="7265B43F" w14:textId="1E06B9FB" w:rsidR="00EA412C" w:rsidRPr="001D0BE7" w:rsidRDefault="00EA412C" w:rsidP="002E2BDF">
            <w:pPr>
              <w:spacing w:before="120" w:after="120"/>
              <w:jc w:val="right"/>
              <w:rPr>
                <w:rFonts w:ascii="Verdana" w:hAnsi="Verdana"/>
                <w:sz w:val="18"/>
              </w:rPr>
            </w:pPr>
            <w:r>
              <w:rPr>
                <w:rFonts w:ascii="Verdana" w:hAnsi="Verdana"/>
                <w:b/>
                <w:noProof/>
                <w:sz w:val="18"/>
              </w:rPr>
              <w:drawing>
                <wp:inline distT="0" distB="0" distL="0" distR="0" wp14:anchorId="031981C4" wp14:editId="0493FCCC">
                  <wp:extent cx="213360" cy="213360"/>
                  <wp:effectExtent l="0" t="0" r="0" b="0"/>
                  <wp:docPr id="578491913" name="Picture 5784919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1BAFF9CB" w14:textId="45D408E3" w:rsidR="00EA412C" w:rsidRDefault="00EA412C" w:rsidP="002E2BDF">
            <w:pPr>
              <w:spacing w:before="120" w:after="120"/>
              <w:jc w:val="right"/>
              <w:rPr>
                <w:rFonts w:ascii="Verdana" w:hAnsi="Verdana"/>
                <w:b/>
                <w:sz w:val="18"/>
              </w:rPr>
            </w:pPr>
            <w:r w:rsidRPr="001D0BE7">
              <w:rPr>
                <w:rFonts w:ascii="Verdana" w:hAnsi="Verdana"/>
                <w:sz w:val="18"/>
              </w:rPr>
              <w:t>(</w:t>
            </w:r>
            <w:r>
              <w:rPr>
                <w:rFonts w:ascii="Verdana" w:hAnsi="Verdana"/>
                <w:sz w:val="18"/>
              </w:rPr>
              <w:t>c</w:t>
            </w:r>
            <w:r w:rsidRPr="001D0BE7">
              <w:rPr>
                <w:rFonts w:ascii="Verdana" w:hAnsi="Verdana"/>
                <w:sz w:val="18"/>
              </w:rPr>
              <w:t>)</w:t>
            </w:r>
          </w:p>
        </w:tc>
        <w:tc>
          <w:tcPr>
            <w:tcW w:w="4638" w:type="dxa"/>
          </w:tcPr>
          <w:p w14:paraId="490E9353" w14:textId="66901B43" w:rsidR="00EA412C" w:rsidRPr="0076305F" w:rsidRDefault="00EA412C" w:rsidP="002E2BDF">
            <w:pPr>
              <w:spacing w:before="120" w:after="120"/>
              <w:rPr>
                <w:rFonts w:ascii="Verdana" w:hAnsi="Verdana"/>
                <w:sz w:val="18"/>
              </w:rPr>
            </w:pPr>
            <w:r w:rsidRPr="002E2BDF">
              <w:rPr>
                <w:rFonts w:ascii="Verdana" w:hAnsi="Verdana"/>
                <w:sz w:val="18"/>
              </w:rPr>
              <w:t>how a CDR consumer for such CDR data may access the</w:t>
            </w:r>
            <w:r>
              <w:rPr>
                <w:rFonts w:ascii="Verdana" w:hAnsi="Verdana"/>
                <w:sz w:val="18"/>
              </w:rPr>
              <w:t xml:space="preserve"> </w:t>
            </w:r>
            <w:r w:rsidRPr="002E2BDF">
              <w:rPr>
                <w:rFonts w:ascii="Verdana" w:hAnsi="Verdana"/>
                <w:sz w:val="18"/>
              </w:rPr>
              <w:t>CDR data and seek the correction of the CDR data;</w:t>
            </w:r>
          </w:p>
        </w:tc>
        <w:tc>
          <w:tcPr>
            <w:tcW w:w="5045" w:type="dxa"/>
          </w:tcPr>
          <w:p w14:paraId="4F36A1EE" w14:textId="0D4AF427" w:rsidR="00EA412C" w:rsidRPr="00791489" w:rsidRDefault="00BE516C" w:rsidP="002E2BDF">
            <w:pPr>
              <w:spacing w:before="120" w:after="120"/>
              <w:rPr>
                <w:rFonts w:ascii="Verdana" w:hAnsi="Verdana"/>
                <w:sz w:val="18"/>
              </w:rPr>
            </w:pPr>
            <w:r>
              <w:rPr>
                <w:rFonts w:ascii="Verdana" w:hAnsi="Verdana"/>
                <w:sz w:val="18"/>
              </w:rPr>
              <w:t>In our use case, t</w:t>
            </w:r>
            <w:r w:rsidR="00EA412C">
              <w:rPr>
                <w:rFonts w:ascii="Verdana" w:hAnsi="Verdana"/>
                <w:sz w:val="18"/>
              </w:rPr>
              <w:t xml:space="preserve">he </w:t>
            </w:r>
            <w:r>
              <w:rPr>
                <w:rFonts w:ascii="Verdana" w:hAnsi="Verdana"/>
                <w:sz w:val="18"/>
              </w:rPr>
              <w:t xml:space="preserve">raw </w:t>
            </w:r>
            <w:r w:rsidR="00EA412C">
              <w:rPr>
                <w:rFonts w:ascii="Verdana" w:hAnsi="Verdana"/>
                <w:sz w:val="18"/>
              </w:rPr>
              <w:t xml:space="preserve">CDR data </w:t>
            </w:r>
            <w:r>
              <w:rPr>
                <w:rFonts w:ascii="Verdana" w:hAnsi="Verdana"/>
                <w:sz w:val="18"/>
              </w:rPr>
              <w:t>does not survive the transformation, however this would appear more relevant to a data holder than a recipient given that only the DH could correct the source data.</w:t>
            </w:r>
          </w:p>
        </w:tc>
        <w:tc>
          <w:tcPr>
            <w:tcW w:w="1243" w:type="dxa"/>
            <w:shd w:val="clear" w:color="auto" w:fill="auto"/>
            <w:vAlign w:val="center"/>
          </w:tcPr>
          <w:p w14:paraId="7DEF0BF0" w14:textId="12C094F0"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243AC142" w14:textId="0467875C" w:rsidR="00EA412C" w:rsidRPr="00791489" w:rsidRDefault="00EA412C" w:rsidP="00DB5622">
            <w:pPr>
              <w:spacing w:before="120" w:after="120"/>
              <w:jc w:val="center"/>
              <w:rPr>
                <w:rFonts w:ascii="Verdana" w:hAnsi="Verdana"/>
                <w:sz w:val="18"/>
              </w:rPr>
            </w:pPr>
          </w:p>
        </w:tc>
      </w:tr>
      <w:tr w:rsidR="00EA412C" w:rsidRPr="00791489" w14:paraId="6C7E41B1" w14:textId="57FECE85" w:rsidTr="0076467E">
        <w:tc>
          <w:tcPr>
            <w:tcW w:w="476" w:type="dxa"/>
            <w:tcMar>
              <w:left w:w="57" w:type="dxa"/>
              <w:right w:w="57" w:type="dxa"/>
            </w:tcMar>
            <w:vAlign w:val="center"/>
          </w:tcPr>
          <w:p w14:paraId="77350DB5" w14:textId="7957C9C4" w:rsidR="00EA412C" w:rsidRPr="001D0BE7" w:rsidRDefault="00EA412C" w:rsidP="002E2BDF">
            <w:pPr>
              <w:spacing w:before="120" w:after="120"/>
              <w:jc w:val="right"/>
              <w:rPr>
                <w:rFonts w:ascii="Verdana" w:hAnsi="Verdana"/>
                <w:sz w:val="18"/>
              </w:rPr>
            </w:pPr>
            <w:r>
              <w:rPr>
                <w:rFonts w:ascii="Verdana" w:hAnsi="Verdana"/>
                <w:b/>
                <w:noProof/>
                <w:sz w:val="18"/>
              </w:rPr>
              <w:lastRenderedPageBreak/>
              <w:drawing>
                <wp:inline distT="0" distB="0" distL="0" distR="0" wp14:anchorId="37E45293" wp14:editId="4D409A4F">
                  <wp:extent cx="213360" cy="213360"/>
                  <wp:effectExtent l="0" t="0" r="0" b="0"/>
                  <wp:docPr id="578491914" name="Picture 5784919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4AD25187" w14:textId="42C0BD90" w:rsidR="00EA412C" w:rsidRDefault="00EA412C" w:rsidP="002E2BDF">
            <w:pPr>
              <w:spacing w:before="120" w:after="120"/>
              <w:jc w:val="right"/>
              <w:rPr>
                <w:rFonts w:ascii="Verdana" w:hAnsi="Verdana"/>
                <w:b/>
                <w:sz w:val="18"/>
              </w:rPr>
            </w:pPr>
            <w:r w:rsidRPr="001D0BE7">
              <w:rPr>
                <w:rFonts w:ascii="Verdana" w:hAnsi="Verdana"/>
                <w:sz w:val="18"/>
              </w:rPr>
              <w:t>(</w:t>
            </w:r>
            <w:r>
              <w:rPr>
                <w:rFonts w:ascii="Verdana" w:hAnsi="Verdana"/>
                <w:sz w:val="18"/>
              </w:rPr>
              <w:t>d</w:t>
            </w:r>
            <w:r w:rsidRPr="001D0BE7">
              <w:rPr>
                <w:rFonts w:ascii="Verdana" w:hAnsi="Verdana"/>
                <w:sz w:val="18"/>
              </w:rPr>
              <w:t>)</w:t>
            </w:r>
          </w:p>
        </w:tc>
        <w:tc>
          <w:tcPr>
            <w:tcW w:w="4638" w:type="dxa"/>
          </w:tcPr>
          <w:p w14:paraId="018E8256" w14:textId="7AED4223" w:rsidR="00EA412C" w:rsidRPr="002E2BDF" w:rsidRDefault="00EA412C" w:rsidP="002E2BDF">
            <w:pPr>
              <w:spacing w:before="120" w:after="120"/>
              <w:rPr>
                <w:rFonts w:ascii="Verdana" w:hAnsi="Verdana"/>
                <w:sz w:val="18"/>
              </w:rPr>
            </w:pPr>
            <w:r w:rsidRPr="002E2BDF">
              <w:rPr>
                <w:rFonts w:ascii="Verdana" w:hAnsi="Verdana"/>
                <w:sz w:val="18"/>
              </w:rPr>
              <w:t>how a CDR consumer for such CDR data may complain</w:t>
            </w:r>
            <w:r>
              <w:rPr>
                <w:rFonts w:ascii="Verdana" w:hAnsi="Verdana"/>
                <w:sz w:val="18"/>
              </w:rPr>
              <w:t xml:space="preserve"> </w:t>
            </w:r>
            <w:r w:rsidRPr="002E2BDF">
              <w:rPr>
                <w:rFonts w:ascii="Verdana" w:hAnsi="Verdana"/>
                <w:sz w:val="18"/>
              </w:rPr>
              <w:t>about a failure of the CDR entity to comply with this Part or</w:t>
            </w:r>
            <w:r>
              <w:rPr>
                <w:rFonts w:ascii="Verdana" w:hAnsi="Verdana"/>
                <w:sz w:val="18"/>
              </w:rPr>
              <w:t xml:space="preserve"> </w:t>
            </w:r>
            <w:r w:rsidRPr="002E2BDF">
              <w:rPr>
                <w:rFonts w:ascii="Verdana" w:hAnsi="Verdana"/>
                <w:sz w:val="18"/>
              </w:rPr>
              <w:t>the consumer data rules, and how the CDR entity will deal</w:t>
            </w:r>
            <w:r>
              <w:rPr>
                <w:rFonts w:ascii="Verdana" w:hAnsi="Verdana"/>
                <w:sz w:val="18"/>
              </w:rPr>
              <w:t xml:space="preserve"> </w:t>
            </w:r>
            <w:r w:rsidRPr="002E2BDF">
              <w:rPr>
                <w:rFonts w:ascii="Verdana" w:hAnsi="Verdana"/>
                <w:sz w:val="18"/>
              </w:rPr>
              <w:t>with such a complaint;</w:t>
            </w:r>
          </w:p>
        </w:tc>
        <w:tc>
          <w:tcPr>
            <w:tcW w:w="5045" w:type="dxa"/>
          </w:tcPr>
          <w:p w14:paraId="532ACBFF" w14:textId="458B3158" w:rsidR="00EA412C" w:rsidRPr="00BE516C" w:rsidRDefault="00EA412C" w:rsidP="002E2BDF">
            <w:pPr>
              <w:spacing w:before="120" w:after="120"/>
              <w:rPr>
                <w:rFonts w:ascii="Verdana" w:hAnsi="Verdana"/>
                <w:iCs/>
                <w:sz w:val="18"/>
              </w:rPr>
            </w:pPr>
            <w:r w:rsidRPr="00BE516C">
              <w:rPr>
                <w:rFonts w:ascii="Verdana" w:hAnsi="Verdana"/>
                <w:iCs/>
                <w:sz w:val="18"/>
              </w:rPr>
              <w:t>Referenced</w:t>
            </w:r>
            <w:r w:rsidR="00BE516C" w:rsidRPr="00BE516C">
              <w:rPr>
                <w:rFonts w:ascii="Verdana" w:hAnsi="Verdana"/>
                <w:iCs/>
                <w:sz w:val="18"/>
              </w:rPr>
              <w:t xml:space="preserve"> extensively</w:t>
            </w:r>
            <w:r w:rsidRPr="00BE516C">
              <w:rPr>
                <w:rFonts w:ascii="Verdana" w:hAnsi="Verdana"/>
                <w:iCs/>
                <w:sz w:val="18"/>
              </w:rPr>
              <w:t xml:space="preserve"> in Rules 7.2 (6)</w:t>
            </w:r>
          </w:p>
        </w:tc>
        <w:tc>
          <w:tcPr>
            <w:tcW w:w="1243" w:type="dxa"/>
            <w:shd w:val="clear" w:color="auto" w:fill="auto"/>
            <w:vAlign w:val="center"/>
          </w:tcPr>
          <w:p w14:paraId="2BE0DCAA" w14:textId="09CA0770"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65459D54" w14:textId="011E7DBA" w:rsidR="00EA412C" w:rsidRPr="00791489" w:rsidRDefault="00EA412C" w:rsidP="00DB5622">
            <w:pPr>
              <w:spacing w:before="120" w:after="120"/>
              <w:jc w:val="center"/>
              <w:rPr>
                <w:rFonts w:ascii="Verdana" w:hAnsi="Verdana"/>
                <w:sz w:val="18"/>
              </w:rPr>
            </w:pPr>
          </w:p>
        </w:tc>
      </w:tr>
      <w:tr w:rsidR="00EA412C" w:rsidRPr="00791489" w14:paraId="1F02F18B" w14:textId="4AC92027" w:rsidTr="0076467E">
        <w:tc>
          <w:tcPr>
            <w:tcW w:w="476" w:type="dxa"/>
            <w:tcMar>
              <w:left w:w="57" w:type="dxa"/>
              <w:right w:w="57" w:type="dxa"/>
            </w:tcMar>
            <w:vAlign w:val="center"/>
          </w:tcPr>
          <w:p w14:paraId="630C6745" w14:textId="00F435FD" w:rsidR="00EA412C" w:rsidRPr="001D0BE7" w:rsidRDefault="00EA412C" w:rsidP="002E2BDF">
            <w:pPr>
              <w:spacing w:before="120" w:after="120"/>
              <w:jc w:val="right"/>
              <w:rPr>
                <w:rFonts w:ascii="Verdana" w:hAnsi="Verdana"/>
                <w:sz w:val="18"/>
              </w:rPr>
            </w:pPr>
            <w:r>
              <w:rPr>
                <w:rFonts w:ascii="Verdana" w:hAnsi="Verdana"/>
                <w:b/>
                <w:noProof/>
                <w:sz w:val="18"/>
              </w:rPr>
              <w:drawing>
                <wp:inline distT="0" distB="0" distL="0" distR="0" wp14:anchorId="33C7ECEC" wp14:editId="17D8F48D">
                  <wp:extent cx="213360" cy="213360"/>
                  <wp:effectExtent l="0" t="0" r="0" b="0"/>
                  <wp:docPr id="578491915" name="Picture 5784919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09B72370" w14:textId="495BD522" w:rsidR="00EA412C" w:rsidRDefault="00EA412C" w:rsidP="002E2BDF">
            <w:pPr>
              <w:spacing w:before="120" w:after="120"/>
              <w:jc w:val="right"/>
              <w:rPr>
                <w:rFonts w:ascii="Verdana" w:hAnsi="Verdana"/>
                <w:b/>
                <w:sz w:val="18"/>
              </w:rPr>
            </w:pPr>
            <w:r w:rsidRPr="001D0BE7">
              <w:rPr>
                <w:rFonts w:ascii="Verdana" w:hAnsi="Verdana"/>
                <w:sz w:val="18"/>
              </w:rPr>
              <w:t>(</w:t>
            </w:r>
            <w:r>
              <w:rPr>
                <w:rFonts w:ascii="Verdana" w:hAnsi="Verdana"/>
                <w:sz w:val="18"/>
              </w:rPr>
              <w:t>e</w:t>
            </w:r>
            <w:r w:rsidRPr="001D0BE7">
              <w:rPr>
                <w:rFonts w:ascii="Verdana" w:hAnsi="Verdana"/>
                <w:sz w:val="18"/>
              </w:rPr>
              <w:t>)</w:t>
            </w:r>
          </w:p>
        </w:tc>
        <w:tc>
          <w:tcPr>
            <w:tcW w:w="4638" w:type="dxa"/>
          </w:tcPr>
          <w:p w14:paraId="51D74140" w14:textId="2DA95F84" w:rsidR="00EA412C" w:rsidRPr="002E2BDF" w:rsidRDefault="00EA412C" w:rsidP="002E2BDF">
            <w:pPr>
              <w:spacing w:before="120" w:after="120"/>
              <w:rPr>
                <w:rFonts w:ascii="Verdana" w:hAnsi="Verdana"/>
                <w:sz w:val="18"/>
              </w:rPr>
            </w:pPr>
            <w:r w:rsidRPr="002E2BDF">
              <w:rPr>
                <w:rFonts w:ascii="Verdana" w:hAnsi="Verdana"/>
                <w:sz w:val="18"/>
              </w:rPr>
              <w:t>whether the CDR entity is likely to disclose such CDR data</w:t>
            </w:r>
            <w:r>
              <w:rPr>
                <w:rFonts w:ascii="Verdana" w:hAnsi="Verdana"/>
                <w:sz w:val="18"/>
              </w:rPr>
              <w:t xml:space="preserve"> </w:t>
            </w:r>
            <w:r w:rsidRPr="002E2BDF">
              <w:rPr>
                <w:rFonts w:ascii="Verdana" w:hAnsi="Verdana"/>
                <w:sz w:val="18"/>
              </w:rPr>
              <w:t>to accredited persons who are based overseas;</w:t>
            </w:r>
          </w:p>
        </w:tc>
        <w:tc>
          <w:tcPr>
            <w:tcW w:w="5045" w:type="dxa"/>
          </w:tcPr>
          <w:p w14:paraId="49EF0B9E" w14:textId="377EA33A" w:rsidR="00EA412C" w:rsidRPr="00791489" w:rsidRDefault="00BE516C" w:rsidP="002E2BDF">
            <w:pPr>
              <w:spacing w:before="120" w:after="120"/>
              <w:rPr>
                <w:rFonts w:ascii="Verdana" w:hAnsi="Verdana"/>
                <w:sz w:val="18"/>
              </w:rPr>
            </w:pPr>
            <w:r>
              <w:rPr>
                <w:rFonts w:ascii="Verdana" w:hAnsi="Verdana"/>
                <w:sz w:val="18"/>
              </w:rPr>
              <w:t>Not applicable to our use case so we can state that data will not leave Australia</w:t>
            </w:r>
          </w:p>
        </w:tc>
        <w:tc>
          <w:tcPr>
            <w:tcW w:w="1243" w:type="dxa"/>
            <w:shd w:val="clear" w:color="auto" w:fill="auto"/>
            <w:vAlign w:val="center"/>
          </w:tcPr>
          <w:p w14:paraId="729D7E4B" w14:textId="6743392D"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20E3444C" w14:textId="268C1660" w:rsidR="00EA412C" w:rsidRPr="00791489" w:rsidRDefault="00EA412C" w:rsidP="00DB5622">
            <w:pPr>
              <w:spacing w:before="120" w:after="120"/>
              <w:jc w:val="center"/>
              <w:rPr>
                <w:rFonts w:ascii="Verdana" w:hAnsi="Verdana"/>
                <w:sz w:val="18"/>
              </w:rPr>
            </w:pPr>
          </w:p>
        </w:tc>
      </w:tr>
      <w:tr w:rsidR="00EA412C" w:rsidRPr="00791489" w14:paraId="79A06634" w14:textId="66C81088" w:rsidTr="0076467E">
        <w:tc>
          <w:tcPr>
            <w:tcW w:w="476" w:type="dxa"/>
            <w:tcMar>
              <w:left w:w="57" w:type="dxa"/>
              <w:right w:w="57" w:type="dxa"/>
            </w:tcMar>
            <w:vAlign w:val="center"/>
          </w:tcPr>
          <w:p w14:paraId="2C32E60C" w14:textId="3BF6665D" w:rsidR="00EA412C" w:rsidRPr="001D0BE7" w:rsidRDefault="00EA412C" w:rsidP="002E2BDF">
            <w:pPr>
              <w:spacing w:before="120" w:after="120"/>
              <w:jc w:val="right"/>
              <w:rPr>
                <w:rFonts w:ascii="Verdana" w:hAnsi="Verdana"/>
                <w:sz w:val="18"/>
              </w:rPr>
            </w:pPr>
            <w:r>
              <w:rPr>
                <w:rFonts w:ascii="Verdana" w:hAnsi="Verdana"/>
                <w:b/>
                <w:noProof/>
                <w:sz w:val="18"/>
              </w:rPr>
              <w:drawing>
                <wp:inline distT="0" distB="0" distL="0" distR="0" wp14:anchorId="76C1C5A3" wp14:editId="02C805D7">
                  <wp:extent cx="213360" cy="213360"/>
                  <wp:effectExtent l="0" t="0" r="0" b="0"/>
                  <wp:docPr id="578491916" name="Picture 57849191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3D6023D5" w14:textId="6DE2ADD0" w:rsidR="00EA412C" w:rsidRDefault="00EA412C" w:rsidP="002E2BDF">
            <w:pPr>
              <w:spacing w:before="120" w:after="120"/>
              <w:jc w:val="right"/>
              <w:rPr>
                <w:rFonts w:ascii="Verdana" w:hAnsi="Verdana"/>
                <w:b/>
                <w:sz w:val="18"/>
              </w:rPr>
            </w:pPr>
            <w:r w:rsidRPr="001D0BE7">
              <w:rPr>
                <w:rFonts w:ascii="Verdana" w:hAnsi="Verdana"/>
                <w:sz w:val="18"/>
              </w:rPr>
              <w:t>(</w:t>
            </w:r>
            <w:r>
              <w:rPr>
                <w:rFonts w:ascii="Verdana" w:hAnsi="Verdana"/>
                <w:sz w:val="18"/>
              </w:rPr>
              <w:t>f</w:t>
            </w:r>
            <w:r w:rsidRPr="001D0BE7">
              <w:rPr>
                <w:rFonts w:ascii="Verdana" w:hAnsi="Verdana"/>
                <w:sz w:val="18"/>
              </w:rPr>
              <w:t>)</w:t>
            </w:r>
          </w:p>
        </w:tc>
        <w:tc>
          <w:tcPr>
            <w:tcW w:w="4638" w:type="dxa"/>
          </w:tcPr>
          <w:p w14:paraId="2C4B6990" w14:textId="31ADEF38" w:rsidR="00EA412C" w:rsidRPr="002E2BDF" w:rsidRDefault="00EA412C" w:rsidP="002E2BDF">
            <w:pPr>
              <w:spacing w:before="120" w:after="120"/>
              <w:rPr>
                <w:rFonts w:ascii="Verdana" w:hAnsi="Verdana"/>
                <w:sz w:val="18"/>
              </w:rPr>
            </w:pPr>
            <w:r w:rsidRPr="002E2BDF">
              <w:rPr>
                <w:rFonts w:ascii="Verdana" w:hAnsi="Verdana"/>
                <w:sz w:val="18"/>
              </w:rPr>
              <w:t>if the CDR entity is likely to disclose such CDR data to</w:t>
            </w:r>
            <w:r>
              <w:rPr>
                <w:rFonts w:ascii="Verdana" w:hAnsi="Verdana"/>
                <w:sz w:val="18"/>
              </w:rPr>
              <w:t xml:space="preserve"> </w:t>
            </w:r>
            <w:r w:rsidRPr="002E2BDF">
              <w:rPr>
                <w:rFonts w:ascii="Verdana" w:hAnsi="Verdana"/>
                <w:sz w:val="18"/>
              </w:rPr>
              <w:t>accredited persons who are based overseas—the countries in</w:t>
            </w:r>
            <w:r>
              <w:rPr>
                <w:rFonts w:ascii="Verdana" w:hAnsi="Verdana"/>
                <w:sz w:val="18"/>
              </w:rPr>
              <w:t xml:space="preserve"> </w:t>
            </w:r>
            <w:r w:rsidRPr="002E2BDF">
              <w:rPr>
                <w:rFonts w:ascii="Verdana" w:hAnsi="Verdana"/>
                <w:sz w:val="18"/>
              </w:rPr>
              <w:t>which such persons are likely to be based if it is practicable</w:t>
            </w:r>
            <w:r>
              <w:rPr>
                <w:rFonts w:ascii="Verdana" w:hAnsi="Verdana"/>
                <w:sz w:val="18"/>
              </w:rPr>
              <w:t xml:space="preserve"> </w:t>
            </w:r>
            <w:r w:rsidRPr="002E2BDF">
              <w:rPr>
                <w:rFonts w:ascii="Verdana" w:hAnsi="Verdana"/>
                <w:sz w:val="18"/>
              </w:rPr>
              <w:t>to specify those countries in the policy;</w:t>
            </w:r>
          </w:p>
        </w:tc>
        <w:tc>
          <w:tcPr>
            <w:tcW w:w="5045" w:type="dxa"/>
          </w:tcPr>
          <w:p w14:paraId="641D8237" w14:textId="25FA1AED" w:rsidR="00EA412C" w:rsidRPr="00791489" w:rsidRDefault="00EA412C" w:rsidP="002E2BDF">
            <w:pPr>
              <w:spacing w:before="120" w:after="120"/>
              <w:rPr>
                <w:rFonts w:ascii="Verdana" w:hAnsi="Verdana"/>
                <w:sz w:val="18"/>
              </w:rPr>
            </w:pPr>
            <w:r>
              <w:rPr>
                <w:rFonts w:ascii="Verdana" w:hAnsi="Verdana"/>
                <w:sz w:val="18"/>
              </w:rPr>
              <w:t xml:space="preserve">Not applicable, see (e) above  </w:t>
            </w:r>
          </w:p>
        </w:tc>
        <w:tc>
          <w:tcPr>
            <w:tcW w:w="1243" w:type="dxa"/>
            <w:shd w:val="clear" w:color="auto" w:fill="auto"/>
            <w:vAlign w:val="center"/>
          </w:tcPr>
          <w:p w14:paraId="5B196E11" w14:textId="18DC46C4"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242F1BCE" w14:textId="18F562CE" w:rsidR="00EA412C" w:rsidRPr="00791489" w:rsidRDefault="00EA412C" w:rsidP="003E40AC">
            <w:pPr>
              <w:spacing w:before="120" w:after="120"/>
              <w:jc w:val="center"/>
              <w:rPr>
                <w:rFonts w:ascii="Verdana" w:hAnsi="Verdana"/>
                <w:sz w:val="18"/>
              </w:rPr>
            </w:pPr>
          </w:p>
        </w:tc>
      </w:tr>
      <w:tr w:rsidR="00EA412C" w:rsidRPr="00791489" w14:paraId="461D9D22" w14:textId="5DAFE8A4" w:rsidTr="0076467E">
        <w:tc>
          <w:tcPr>
            <w:tcW w:w="476" w:type="dxa"/>
            <w:tcMar>
              <w:left w:w="57" w:type="dxa"/>
              <w:right w:w="57" w:type="dxa"/>
            </w:tcMar>
            <w:vAlign w:val="center"/>
          </w:tcPr>
          <w:p w14:paraId="79E14776" w14:textId="51513DE3" w:rsidR="00EA412C" w:rsidRPr="001D0BE7" w:rsidRDefault="00EA412C" w:rsidP="002E2BDF">
            <w:pPr>
              <w:spacing w:before="120" w:after="120"/>
              <w:jc w:val="right"/>
              <w:rPr>
                <w:rFonts w:ascii="Verdana" w:hAnsi="Verdana"/>
                <w:sz w:val="18"/>
              </w:rPr>
            </w:pPr>
            <w:r>
              <w:rPr>
                <w:rFonts w:ascii="Verdana" w:hAnsi="Verdana"/>
                <w:b/>
                <w:noProof/>
                <w:sz w:val="18"/>
              </w:rPr>
              <w:drawing>
                <wp:inline distT="0" distB="0" distL="0" distR="0" wp14:anchorId="0216734A" wp14:editId="32519D0C">
                  <wp:extent cx="213360" cy="213360"/>
                  <wp:effectExtent l="0" t="0" r="0" b="0"/>
                  <wp:docPr id="578491917" name="Picture 57849191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46084064" w14:textId="37B019F9" w:rsidR="00EA412C" w:rsidRDefault="00EA412C" w:rsidP="002E2BDF">
            <w:pPr>
              <w:spacing w:before="120" w:after="120"/>
              <w:jc w:val="right"/>
              <w:rPr>
                <w:rFonts w:ascii="Verdana" w:hAnsi="Verdana"/>
                <w:b/>
                <w:sz w:val="18"/>
              </w:rPr>
            </w:pPr>
            <w:r w:rsidRPr="001D0BE7">
              <w:rPr>
                <w:rFonts w:ascii="Verdana" w:hAnsi="Verdana"/>
                <w:sz w:val="18"/>
              </w:rPr>
              <w:t>(</w:t>
            </w:r>
            <w:r>
              <w:rPr>
                <w:rFonts w:ascii="Verdana" w:hAnsi="Verdana"/>
                <w:sz w:val="18"/>
              </w:rPr>
              <w:t>g</w:t>
            </w:r>
            <w:r w:rsidRPr="001D0BE7">
              <w:rPr>
                <w:rFonts w:ascii="Verdana" w:hAnsi="Verdana"/>
                <w:sz w:val="18"/>
              </w:rPr>
              <w:t>)</w:t>
            </w:r>
          </w:p>
        </w:tc>
        <w:tc>
          <w:tcPr>
            <w:tcW w:w="4638" w:type="dxa"/>
          </w:tcPr>
          <w:p w14:paraId="459B0861" w14:textId="2204DE14" w:rsidR="00EA412C" w:rsidRPr="002E2BDF" w:rsidRDefault="00EA412C" w:rsidP="002E2BDF">
            <w:pPr>
              <w:spacing w:before="120" w:after="120"/>
              <w:rPr>
                <w:rFonts w:ascii="Verdana" w:hAnsi="Verdana"/>
                <w:sz w:val="18"/>
              </w:rPr>
            </w:pPr>
            <w:r w:rsidRPr="002E2BDF">
              <w:rPr>
                <w:rFonts w:ascii="Verdana" w:hAnsi="Verdana"/>
                <w:sz w:val="18"/>
              </w:rPr>
              <w:t>the circumstances in which the CDR entity may disclose such</w:t>
            </w:r>
            <w:r>
              <w:rPr>
                <w:rFonts w:ascii="Verdana" w:hAnsi="Verdana"/>
                <w:sz w:val="18"/>
              </w:rPr>
              <w:t xml:space="preserve"> </w:t>
            </w:r>
            <w:r w:rsidRPr="002E2BDF">
              <w:rPr>
                <w:rFonts w:ascii="Verdana" w:hAnsi="Verdana"/>
                <w:sz w:val="18"/>
              </w:rPr>
              <w:t>CDR data to a person who is not an accredited person;</w:t>
            </w:r>
          </w:p>
        </w:tc>
        <w:tc>
          <w:tcPr>
            <w:tcW w:w="5045" w:type="dxa"/>
          </w:tcPr>
          <w:p w14:paraId="679D5916" w14:textId="3AC514B4" w:rsidR="00EA412C" w:rsidRPr="00791489" w:rsidRDefault="00EA412C" w:rsidP="002E2BDF">
            <w:pPr>
              <w:spacing w:before="120" w:after="120"/>
              <w:rPr>
                <w:rFonts w:ascii="Verdana" w:hAnsi="Verdana"/>
                <w:sz w:val="18"/>
              </w:rPr>
            </w:pPr>
            <w:r>
              <w:rPr>
                <w:rFonts w:ascii="Verdana" w:hAnsi="Verdana"/>
                <w:sz w:val="18"/>
              </w:rPr>
              <w:t xml:space="preserve">We </w:t>
            </w:r>
            <w:r w:rsidR="00264DB9">
              <w:rPr>
                <w:rFonts w:ascii="Verdana" w:hAnsi="Verdana"/>
                <w:sz w:val="18"/>
              </w:rPr>
              <w:t>need to declare that we will</w:t>
            </w:r>
            <w:r>
              <w:rPr>
                <w:rFonts w:ascii="Verdana" w:hAnsi="Verdana"/>
                <w:sz w:val="18"/>
              </w:rPr>
              <w:t xml:space="preserve"> disclose de-identified data to</w:t>
            </w:r>
            <w:r w:rsidR="00264DB9">
              <w:rPr>
                <w:rFonts w:ascii="Verdana" w:hAnsi="Verdana"/>
                <w:sz w:val="18"/>
              </w:rPr>
              <w:t xml:space="preserve"> an outsourced service provider as described in response to Rule 7.2(4)(b)</w:t>
            </w:r>
          </w:p>
        </w:tc>
        <w:tc>
          <w:tcPr>
            <w:tcW w:w="1243" w:type="dxa"/>
            <w:shd w:val="clear" w:color="auto" w:fill="auto"/>
            <w:vAlign w:val="center"/>
          </w:tcPr>
          <w:p w14:paraId="1A6F97C2" w14:textId="16326B18"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407CC2AE" w14:textId="55937D15" w:rsidR="00EA412C" w:rsidRPr="00791489" w:rsidRDefault="00EA412C" w:rsidP="003E40AC">
            <w:pPr>
              <w:spacing w:before="120" w:after="120"/>
              <w:jc w:val="center"/>
              <w:rPr>
                <w:rFonts w:ascii="Verdana" w:hAnsi="Verdana"/>
                <w:sz w:val="18"/>
              </w:rPr>
            </w:pPr>
          </w:p>
        </w:tc>
      </w:tr>
      <w:tr w:rsidR="00264DB9" w:rsidRPr="00791489" w14:paraId="4C4EE015" w14:textId="594CD294" w:rsidTr="00264DB9">
        <w:tc>
          <w:tcPr>
            <w:tcW w:w="476" w:type="dxa"/>
            <w:tcMar>
              <w:left w:w="57" w:type="dxa"/>
              <w:right w:w="57" w:type="dxa"/>
            </w:tcMar>
            <w:vAlign w:val="center"/>
          </w:tcPr>
          <w:p w14:paraId="7D1971B3" w14:textId="34C0141E" w:rsidR="00EA412C" w:rsidRPr="001D0BE7" w:rsidRDefault="00EA412C" w:rsidP="002E2BDF">
            <w:pPr>
              <w:spacing w:before="120" w:after="120"/>
              <w:jc w:val="right"/>
              <w:rPr>
                <w:rFonts w:ascii="Verdana" w:hAnsi="Verdana"/>
                <w:sz w:val="18"/>
              </w:rPr>
            </w:pPr>
            <w:r>
              <w:rPr>
                <w:rFonts w:ascii="Verdana" w:hAnsi="Verdana"/>
                <w:b/>
                <w:noProof/>
                <w:sz w:val="18"/>
              </w:rPr>
              <w:drawing>
                <wp:inline distT="0" distB="0" distL="0" distR="0" wp14:anchorId="47D096E5" wp14:editId="28399A6C">
                  <wp:extent cx="213360" cy="213360"/>
                  <wp:effectExtent l="0" t="0" r="0" b="0"/>
                  <wp:docPr id="578491919" name="Picture 57849191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5302A673" w14:textId="527F6A2F" w:rsidR="00EA412C" w:rsidRDefault="00EA412C" w:rsidP="002E2BDF">
            <w:pPr>
              <w:spacing w:before="120" w:after="120"/>
              <w:jc w:val="right"/>
              <w:rPr>
                <w:rFonts w:ascii="Verdana" w:hAnsi="Verdana"/>
                <w:b/>
                <w:sz w:val="18"/>
              </w:rPr>
            </w:pPr>
            <w:r w:rsidRPr="001D0BE7">
              <w:rPr>
                <w:rFonts w:ascii="Verdana" w:hAnsi="Verdana"/>
                <w:sz w:val="18"/>
              </w:rPr>
              <w:t>(</w:t>
            </w:r>
            <w:r>
              <w:rPr>
                <w:rFonts w:ascii="Verdana" w:hAnsi="Verdana"/>
                <w:sz w:val="18"/>
              </w:rPr>
              <w:t>h</w:t>
            </w:r>
            <w:r w:rsidRPr="001D0BE7">
              <w:rPr>
                <w:rFonts w:ascii="Verdana" w:hAnsi="Verdana"/>
                <w:sz w:val="18"/>
              </w:rPr>
              <w:t>)</w:t>
            </w:r>
          </w:p>
        </w:tc>
        <w:tc>
          <w:tcPr>
            <w:tcW w:w="4638" w:type="dxa"/>
          </w:tcPr>
          <w:p w14:paraId="27B858AE" w14:textId="5778AF7C" w:rsidR="00EA412C" w:rsidRPr="002E2BDF" w:rsidRDefault="00EA412C" w:rsidP="002E2BDF">
            <w:pPr>
              <w:spacing w:before="120" w:after="120"/>
              <w:rPr>
                <w:rFonts w:ascii="Verdana" w:hAnsi="Verdana"/>
                <w:sz w:val="18"/>
              </w:rPr>
            </w:pPr>
            <w:r w:rsidRPr="002E2BDF">
              <w:rPr>
                <w:rFonts w:ascii="Verdana" w:hAnsi="Verdana"/>
                <w:sz w:val="18"/>
              </w:rPr>
              <w:t>the events about which the CDR entity will notify the CDR</w:t>
            </w:r>
            <w:r>
              <w:rPr>
                <w:rFonts w:ascii="Verdana" w:hAnsi="Verdana"/>
                <w:sz w:val="18"/>
              </w:rPr>
              <w:t xml:space="preserve"> </w:t>
            </w:r>
            <w:r w:rsidRPr="002E2BDF">
              <w:rPr>
                <w:rFonts w:ascii="Verdana" w:hAnsi="Verdana"/>
                <w:sz w:val="18"/>
              </w:rPr>
              <w:t>consumers of such CDR data;</w:t>
            </w:r>
          </w:p>
        </w:tc>
        <w:tc>
          <w:tcPr>
            <w:tcW w:w="5045" w:type="dxa"/>
          </w:tcPr>
          <w:p w14:paraId="662EC8F3" w14:textId="7564FC5A" w:rsidR="00EA412C" w:rsidRPr="005460EB" w:rsidRDefault="00264DB9" w:rsidP="002E2BDF">
            <w:pPr>
              <w:spacing w:before="120" w:after="120"/>
              <w:rPr>
                <w:rFonts w:ascii="Verdana" w:hAnsi="Verdana"/>
                <w:i/>
                <w:iCs/>
                <w:sz w:val="18"/>
              </w:rPr>
            </w:pPr>
            <w:r>
              <w:rPr>
                <w:rFonts w:ascii="Verdana" w:hAnsi="Verdana"/>
                <w:sz w:val="18"/>
              </w:rPr>
              <w:t>This is a confusing clause; it is not clear if this relates to (g) above or more broadly.  Not clear what ‘such CDR data’ refers to.</w:t>
            </w:r>
          </w:p>
        </w:tc>
        <w:tc>
          <w:tcPr>
            <w:tcW w:w="1243" w:type="dxa"/>
            <w:shd w:val="clear" w:color="auto" w:fill="FFC000"/>
            <w:vAlign w:val="center"/>
          </w:tcPr>
          <w:p w14:paraId="2BE005E5" w14:textId="213EB407" w:rsidR="00EA412C" w:rsidRPr="00791489" w:rsidRDefault="00264DB9" w:rsidP="009069A2">
            <w:pPr>
              <w:spacing w:before="120" w:after="120"/>
              <w:jc w:val="center"/>
              <w:rPr>
                <w:rFonts w:ascii="Verdana" w:hAnsi="Verdana"/>
                <w:sz w:val="18"/>
              </w:rPr>
            </w:pPr>
            <w:r>
              <w:rPr>
                <w:rFonts w:ascii="Verdana" w:hAnsi="Verdana"/>
                <w:sz w:val="18"/>
              </w:rPr>
              <w:t>Not Really</w:t>
            </w:r>
          </w:p>
        </w:tc>
        <w:tc>
          <w:tcPr>
            <w:tcW w:w="1206" w:type="dxa"/>
            <w:shd w:val="clear" w:color="auto" w:fill="FFC000"/>
            <w:vAlign w:val="center"/>
          </w:tcPr>
          <w:p w14:paraId="7337605D" w14:textId="558C8859" w:rsidR="00EA412C" w:rsidRPr="00791489" w:rsidRDefault="00264DB9" w:rsidP="003E40AC">
            <w:pPr>
              <w:spacing w:before="120" w:after="120"/>
              <w:jc w:val="center"/>
              <w:rPr>
                <w:rFonts w:ascii="Verdana" w:hAnsi="Verdana"/>
                <w:sz w:val="18"/>
              </w:rPr>
            </w:pPr>
            <w:r>
              <w:rPr>
                <w:rFonts w:ascii="Verdana" w:hAnsi="Verdana"/>
                <w:sz w:val="18"/>
              </w:rPr>
              <w:t>Not Sure</w:t>
            </w:r>
          </w:p>
        </w:tc>
      </w:tr>
      <w:tr w:rsidR="00EA412C" w:rsidRPr="00791489" w14:paraId="396B3741" w14:textId="5E808371" w:rsidTr="0076467E">
        <w:tc>
          <w:tcPr>
            <w:tcW w:w="476" w:type="dxa"/>
            <w:tcMar>
              <w:left w:w="57" w:type="dxa"/>
              <w:right w:w="57" w:type="dxa"/>
            </w:tcMar>
            <w:vAlign w:val="center"/>
          </w:tcPr>
          <w:p w14:paraId="31F2AD02" w14:textId="59D2B137" w:rsidR="00EA412C" w:rsidRPr="001D0BE7" w:rsidRDefault="00EA412C" w:rsidP="002E2BDF">
            <w:pPr>
              <w:spacing w:before="120" w:after="120"/>
              <w:jc w:val="right"/>
              <w:rPr>
                <w:rFonts w:ascii="Verdana" w:hAnsi="Verdana"/>
                <w:sz w:val="18"/>
              </w:rPr>
            </w:pPr>
            <w:r>
              <w:rPr>
                <w:rFonts w:ascii="Verdana" w:hAnsi="Verdana"/>
                <w:b/>
                <w:noProof/>
                <w:sz w:val="18"/>
              </w:rPr>
              <w:drawing>
                <wp:inline distT="0" distB="0" distL="0" distR="0" wp14:anchorId="02E57947" wp14:editId="386A5AA8">
                  <wp:extent cx="213360" cy="213360"/>
                  <wp:effectExtent l="0" t="0" r="0" b="0"/>
                  <wp:docPr id="578491920" name="Picture 57849192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85" w:type="dxa"/>
          </w:tcPr>
          <w:p w14:paraId="5C01AC4F" w14:textId="542BDE0E" w:rsidR="00EA412C" w:rsidRDefault="00EA412C" w:rsidP="002E2BDF">
            <w:pPr>
              <w:spacing w:before="120" w:after="120"/>
              <w:jc w:val="right"/>
              <w:rPr>
                <w:rFonts w:ascii="Verdana" w:hAnsi="Verdana"/>
                <w:b/>
                <w:sz w:val="18"/>
              </w:rPr>
            </w:pPr>
            <w:r w:rsidRPr="001D0BE7">
              <w:rPr>
                <w:rFonts w:ascii="Verdana" w:hAnsi="Verdana"/>
                <w:sz w:val="18"/>
              </w:rPr>
              <w:t>(</w:t>
            </w:r>
            <w:proofErr w:type="spellStart"/>
            <w:r>
              <w:rPr>
                <w:rFonts w:ascii="Verdana" w:hAnsi="Verdana"/>
                <w:sz w:val="18"/>
              </w:rPr>
              <w:t>i</w:t>
            </w:r>
            <w:proofErr w:type="spellEnd"/>
            <w:r w:rsidRPr="001D0BE7">
              <w:rPr>
                <w:rFonts w:ascii="Verdana" w:hAnsi="Verdana"/>
                <w:sz w:val="18"/>
              </w:rPr>
              <w:t>)</w:t>
            </w:r>
          </w:p>
        </w:tc>
        <w:tc>
          <w:tcPr>
            <w:tcW w:w="4638" w:type="dxa"/>
          </w:tcPr>
          <w:p w14:paraId="473C2B6A" w14:textId="149220A8" w:rsidR="00EA412C" w:rsidRPr="002E2BDF" w:rsidRDefault="00EA412C" w:rsidP="002E2BDF">
            <w:pPr>
              <w:spacing w:before="120" w:after="120"/>
              <w:rPr>
                <w:rFonts w:ascii="Verdana" w:hAnsi="Verdana"/>
                <w:sz w:val="18"/>
              </w:rPr>
            </w:pPr>
            <w:r w:rsidRPr="002E2BDF">
              <w:rPr>
                <w:rFonts w:ascii="Verdana" w:hAnsi="Verdana"/>
                <w:sz w:val="18"/>
              </w:rPr>
              <w:t>the circumstances in which the CDR entity must delete or</w:t>
            </w:r>
            <w:r>
              <w:rPr>
                <w:rFonts w:ascii="Verdana" w:hAnsi="Verdana"/>
                <w:sz w:val="18"/>
              </w:rPr>
              <w:t xml:space="preserve"> </w:t>
            </w:r>
            <w:r w:rsidRPr="002E2BDF">
              <w:rPr>
                <w:rFonts w:ascii="Verdana" w:hAnsi="Verdana"/>
                <w:sz w:val="18"/>
              </w:rPr>
              <w:t>de-identify such CDR data in accordance with a request</w:t>
            </w:r>
            <w:r>
              <w:rPr>
                <w:rFonts w:ascii="Verdana" w:hAnsi="Verdana"/>
                <w:sz w:val="18"/>
              </w:rPr>
              <w:t xml:space="preserve"> </w:t>
            </w:r>
            <w:r w:rsidRPr="002E2BDF">
              <w:rPr>
                <w:rFonts w:ascii="Verdana" w:hAnsi="Verdana"/>
                <w:sz w:val="18"/>
              </w:rPr>
              <w:t>given by a CDR consumer for the CDR data under the</w:t>
            </w:r>
            <w:r>
              <w:rPr>
                <w:rFonts w:ascii="Verdana" w:hAnsi="Verdana"/>
                <w:sz w:val="18"/>
              </w:rPr>
              <w:t xml:space="preserve"> </w:t>
            </w:r>
            <w:r w:rsidRPr="002E2BDF">
              <w:rPr>
                <w:rFonts w:ascii="Verdana" w:hAnsi="Verdana"/>
                <w:sz w:val="18"/>
              </w:rPr>
              <w:t>consumer data rules.</w:t>
            </w:r>
          </w:p>
        </w:tc>
        <w:tc>
          <w:tcPr>
            <w:tcW w:w="5045" w:type="dxa"/>
          </w:tcPr>
          <w:p w14:paraId="6A5A5DBE" w14:textId="1F012F1E" w:rsidR="00EA412C" w:rsidRPr="00791489" w:rsidRDefault="00264DB9" w:rsidP="002E2BDF">
            <w:pPr>
              <w:spacing w:before="120" w:after="120"/>
              <w:rPr>
                <w:rFonts w:ascii="Verdana" w:hAnsi="Verdana"/>
                <w:sz w:val="18"/>
              </w:rPr>
            </w:pPr>
            <w:r>
              <w:rPr>
                <w:rFonts w:ascii="Verdana" w:hAnsi="Verdana"/>
                <w:sz w:val="18"/>
              </w:rPr>
              <w:t>Covered in Rules 7.2(5)(a)</w:t>
            </w:r>
          </w:p>
        </w:tc>
        <w:tc>
          <w:tcPr>
            <w:tcW w:w="1243" w:type="dxa"/>
            <w:shd w:val="clear" w:color="auto" w:fill="auto"/>
            <w:vAlign w:val="center"/>
          </w:tcPr>
          <w:p w14:paraId="27CB32DE" w14:textId="7A815294" w:rsidR="00EA412C" w:rsidRPr="00791489" w:rsidRDefault="00EA412C" w:rsidP="009069A2">
            <w:pPr>
              <w:spacing w:before="120" w:after="120"/>
              <w:jc w:val="center"/>
              <w:rPr>
                <w:rFonts w:ascii="Verdana" w:hAnsi="Verdana"/>
                <w:sz w:val="18"/>
              </w:rPr>
            </w:pPr>
          </w:p>
        </w:tc>
        <w:tc>
          <w:tcPr>
            <w:tcW w:w="1206" w:type="dxa"/>
            <w:shd w:val="clear" w:color="auto" w:fill="auto"/>
            <w:vAlign w:val="center"/>
          </w:tcPr>
          <w:p w14:paraId="033F70D4" w14:textId="551DFD0A" w:rsidR="00EA412C" w:rsidRPr="00791489" w:rsidRDefault="00EA412C" w:rsidP="003E40AC">
            <w:pPr>
              <w:spacing w:before="120" w:after="120"/>
              <w:jc w:val="center"/>
              <w:rPr>
                <w:rFonts w:ascii="Verdana" w:hAnsi="Verdana"/>
                <w:sz w:val="18"/>
              </w:rPr>
            </w:pPr>
          </w:p>
        </w:tc>
      </w:tr>
      <w:tr w:rsidR="00EA412C" w:rsidRPr="00791489" w14:paraId="543FF7E7" w14:textId="0B9F1FE3" w:rsidTr="0076467E">
        <w:tc>
          <w:tcPr>
            <w:tcW w:w="476" w:type="dxa"/>
            <w:tcMar>
              <w:left w:w="57" w:type="dxa"/>
              <w:right w:w="57" w:type="dxa"/>
            </w:tcMar>
            <w:vAlign w:val="center"/>
          </w:tcPr>
          <w:p w14:paraId="53BF72A7" w14:textId="77777777" w:rsidR="00EA412C" w:rsidRDefault="00EA412C" w:rsidP="00FB2FB1">
            <w:pPr>
              <w:spacing w:before="120" w:after="120"/>
              <w:rPr>
                <w:rFonts w:ascii="Verdana" w:hAnsi="Verdana"/>
                <w:b/>
                <w:sz w:val="18"/>
              </w:rPr>
            </w:pPr>
          </w:p>
        </w:tc>
        <w:tc>
          <w:tcPr>
            <w:tcW w:w="1685" w:type="dxa"/>
          </w:tcPr>
          <w:p w14:paraId="7A34F662" w14:textId="45E3EB1C" w:rsidR="00EA412C" w:rsidRDefault="00EA412C" w:rsidP="00FB2FB1">
            <w:pPr>
              <w:spacing w:before="120" w:after="120"/>
              <w:rPr>
                <w:rFonts w:ascii="Verdana" w:hAnsi="Verdana"/>
                <w:b/>
                <w:sz w:val="18"/>
              </w:rPr>
            </w:pPr>
            <w:r>
              <w:rPr>
                <w:rFonts w:ascii="Verdana" w:hAnsi="Verdana"/>
                <w:b/>
                <w:sz w:val="18"/>
              </w:rPr>
              <w:t>Act</w:t>
            </w:r>
            <w:r>
              <w:rPr>
                <w:rFonts w:ascii="Verdana" w:hAnsi="Verdana"/>
                <w:b/>
                <w:sz w:val="18"/>
              </w:rPr>
              <w:br/>
              <w:t>56ED(7)</w:t>
            </w:r>
          </w:p>
        </w:tc>
        <w:tc>
          <w:tcPr>
            <w:tcW w:w="12132" w:type="dxa"/>
            <w:gridSpan w:val="4"/>
            <w:shd w:val="clear" w:color="auto" w:fill="auto"/>
            <w:vAlign w:val="center"/>
          </w:tcPr>
          <w:p w14:paraId="7296ED87" w14:textId="6FE188A4" w:rsidR="00EA412C" w:rsidRPr="0047553C" w:rsidRDefault="00264DB9" w:rsidP="003E40AC">
            <w:pPr>
              <w:spacing w:before="120" w:after="120"/>
              <w:rPr>
                <w:rFonts w:ascii="Verdana" w:hAnsi="Verdana"/>
                <w:sz w:val="18"/>
              </w:rPr>
            </w:pPr>
            <w:r>
              <w:rPr>
                <w:rFonts w:ascii="Verdana" w:hAnsi="Verdana"/>
                <w:sz w:val="18"/>
              </w:rPr>
              <w:t>The CDR entity must make the CDR entity’s policy available:</w:t>
            </w:r>
          </w:p>
        </w:tc>
      </w:tr>
      <w:tr w:rsidR="00EA412C" w:rsidRPr="00791489" w14:paraId="03303C72" w14:textId="597635E2" w:rsidTr="0076467E">
        <w:tc>
          <w:tcPr>
            <w:tcW w:w="476" w:type="dxa"/>
            <w:tcMar>
              <w:left w:w="57" w:type="dxa"/>
              <w:right w:w="57" w:type="dxa"/>
            </w:tcMar>
            <w:vAlign w:val="center"/>
          </w:tcPr>
          <w:p w14:paraId="3F6BFA14" w14:textId="77777777" w:rsidR="00EA412C" w:rsidRPr="001D0BE7" w:rsidRDefault="00EA412C" w:rsidP="0047553C">
            <w:pPr>
              <w:spacing w:before="120" w:after="120"/>
              <w:jc w:val="right"/>
              <w:rPr>
                <w:rFonts w:ascii="Verdana" w:hAnsi="Verdana"/>
                <w:sz w:val="18"/>
              </w:rPr>
            </w:pPr>
          </w:p>
        </w:tc>
        <w:tc>
          <w:tcPr>
            <w:tcW w:w="1685" w:type="dxa"/>
          </w:tcPr>
          <w:p w14:paraId="44FFC03F" w14:textId="729E5691" w:rsidR="00EA412C" w:rsidRDefault="00EA412C" w:rsidP="0047553C">
            <w:pPr>
              <w:spacing w:before="120" w:after="120"/>
              <w:jc w:val="right"/>
              <w:rPr>
                <w:rFonts w:ascii="Verdana" w:hAnsi="Verdana"/>
                <w:b/>
                <w:sz w:val="18"/>
              </w:rPr>
            </w:pPr>
            <w:r w:rsidRPr="001D0BE7">
              <w:rPr>
                <w:rFonts w:ascii="Verdana" w:hAnsi="Verdana"/>
                <w:sz w:val="18"/>
              </w:rPr>
              <w:t>(</w:t>
            </w:r>
            <w:r>
              <w:rPr>
                <w:rFonts w:ascii="Verdana" w:hAnsi="Verdana"/>
                <w:sz w:val="18"/>
              </w:rPr>
              <w:t>a</w:t>
            </w:r>
            <w:r w:rsidRPr="001D0BE7">
              <w:rPr>
                <w:rFonts w:ascii="Verdana" w:hAnsi="Verdana"/>
                <w:sz w:val="18"/>
              </w:rPr>
              <w:t>)</w:t>
            </w:r>
          </w:p>
        </w:tc>
        <w:tc>
          <w:tcPr>
            <w:tcW w:w="4638" w:type="dxa"/>
          </w:tcPr>
          <w:p w14:paraId="227F08EE" w14:textId="2FB4E3FC" w:rsidR="00EA412C" w:rsidRPr="0047553C" w:rsidRDefault="00EA412C" w:rsidP="0047553C">
            <w:pPr>
              <w:spacing w:before="120" w:after="120"/>
              <w:rPr>
                <w:rFonts w:ascii="Verdana" w:hAnsi="Verdana"/>
                <w:sz w:val="18"/>
              </w:rPr>
            </w:pPr>
            <w:r w:rsidRPr="0047553C">
              <w:rPr>
                <w:rFonts w:ascii="Verdana" w:hAnsi="Verdana"/>
                <w:sz w:val="18"/>
              </w:rPr>
              <w:t>free of charge; and</w:t>
            </w:r>
          </w:p>
        </w:tc>
        <w:tc>
          <w:tcPr>
            <w:tcW w:w="5045" w:type="dxa"/>
          </w:tcPr>
          <w:p w14:paraId="7E865658" w14:textId="3D8CFAFC" w:rsidR="00EA412C" w:rsidRPr="00791489" w:rsidRDefault="00EA412C" w:rsidP="0047553C">
            <w:pPr>
              <w:spacing w:before="120" w:after="120"/>
              <w:rPr>
                <w:rFonts w:ascii="Verdana" w:hAnsi="Verdana"/>
                <w:sz w:val="18"/>
              </w:rPr>
            </w:pPr>
            <w:r>
              <w:rPr>
                <w:rFonts w:ascii="Verdana" w:hAnsi="Verdana"/>
                <w:sz w:val="18"/>
              </w:rPr>
              <w:t>This is consistent with other bank documents such as the privacy policy.  This is not an issue.</w:t>
            </w:r>
            <w:r w:rsidR="00264DB9">
              <w:rPr>
                <w:rFonts w:ascii="Verdana" w:hAnsi="Verdana"/>
                <w:sz w:val="18"/>
              </w:rPr>
              <w:t xml:space="preserve">  This is stated in the CDR policy.</w:t>
            </w:r>
          </w:p>
        </w:tc>
        <w:tc>
          <w:tcPr>
            <w:tcW w:w="1243" w:type="dxa"/>
            <w:shd w:val="clear" w:color="auto" w:fill="auto"/>
            <w:vAlign w:val="center"/>
          </w:tcPr>
          <w:p w14:paraId="02AB5D8B" w14:textId="71774B6D" w:rsidR="00EA412C" w:rsidRPr="00791489" w:rsidRDefault="00EA412C" w:rsidP="000643B2">
            <w:pPr>
              <w:spacing w:before="120" w:after="120"/>
              <w:jc w:val="center"/>
              <w:rPr>
                <w:rFonts w:ascii="Verdana" w:hAnsi="Verdana"/>
                <w:sz w:val="18"/>
              </w:rPr>
            </w:pPr>
          </w:p>
        </w:tc>
        <w:tc>
          <w:tcPr>
            <w:tcW w:w="1206" w:type="dxa"/>
            <w:shd w:val="clear" w:color="auto" w:fill="auto"/>
            <w:vAlign w:val="center"/>
          </w:tcPr>
          <w:p w14:paraId="26FDF74B" w14:textId="05CF0173" w:rsidR="00EA412C" w:rsidRPr="00791489" w:rsidRDefault="00EA412C" w:rsidP="003E40AC">
            <w:pPr>
              <w:spacing w:before="120" w:after="120"/>
              <w:jc w:val="center"/>
              <w:rPr>
                <w:rFonts w:ascii="Verdana" w:hAnsi="Verdana"/>
                <w:sz w:val="18"/>
              </w:rPr>
            </w:pPr>
          </w:p>
        </w:tc>
      </w:tr>
      <w:tr w:rsidR="00EA412C" w:rsidRPr="00791489" w14:paraId="472DDA25" w14:textId="35B37BEC" w:rsidTr="0076467E">
        <w:tc>
          <w:tcPr>
            <w:tcW w:w="476" w:type="dxa"/>
            <w:tcMar>
              <w:left w:w="57" w:type="dxa"/>
              <w:right w:w="57" w:type="dxa"/>
            </w:tcMar>
            <w:vAlign w:val="center"/>
          </w:tcPr>
          <w:p w14:paraId="51A190A8" w14:textId="77777777" w:rsidR="00EA412C" w:rsidRPr="001D0BE7" w:rsidRDefault="00EA412C" w:rsidP="00E64A4A">
            <w:pPr>
              <w:spacing w:before="120" w:after="120"/>
              <w:jc w:val="right"/>
              <w:rPr>
                <w:rFonts w:ascii="Verdana" w:hAnsi="Verdana"/>
                <w:sz w:val="18"/>
              </w:rPr>
            </w:pPr>
          </w:p>
        </w:tc>
        <w:tc>
          <w:tcPr>
            <w:tcW w:w="1685" w:type="dxa"/>
          </w:tcPr>
          <w:p w14:paraId="38B93681" w14:textId="2C659F6B" w:rsidR="00EA412C" w:rsidRDefault="00EA412C" w:rsidP="00E64A4A">
            <w:pPr>
              <w:spacing w:before="120" w:after="120"/>
              <w:jc w:val="right"/>
              <w:rPr>
                <w:rFonts w:ascii="Verdana" w:hAnsi="Verdana"/>
                <w:b/>
                <w:sz w:val="18"/>
              </w:rPr>
            </w:pPr>
            <w:r w:rsidRPr="001D0BE7">
              <w:rPr>
                <w:rFonts w:ascii="Verdana" w:hAnsi="Verdana"/>
                <w:sz w:val="18"/>
              </w:rPr>
              <w:t>(</w:t>
            </w:r>
            <w:r>
              <w:rPr>
                <w:rFonts w:ascii="Verdana" w:hAnsi="Verdana"/>
                <w:sz w:val="18"/>
              </w:rPr>
              <w:t>b</w:t>
            </w:r>
            <w:r w:rsidRPr="001D0BE7">
              <w:rPr>
                <w:rFonts w:ascii="Verdana" w:hAnsi="Verdana"/>
                <w:sz w:val="18"/>
              </w:rPr>
              <w:t>)</w:t>
            </w:r>
          </w:p>
        </w:tc>
        <w:tc>
          <w:tcPr>
            <w:tcW w:w="4638" w:type="dxa"/>
          </w:tcPr>
          <w:p w14:paraId="346CD625" w14:textId="77777777" w:rsidR="00EA412C" w:rsidRPr="0047553C" w:rsidRDefault="00EA412C" w:rsidP="00E64A4A">
            <w:pPr>
              <w:spacing w:before="120" w:after="120"/>
              <w:rPr>
                <w:rFonts w:ascii="Verdana" w:hAnsi="Verdana"/>
                <w:sz w:val="18"/>
              </w:rPr>
            </w:pPr>
            <w:r w:rsidRPr="0047553C">
              <w:rPr>
                <w:rFonts w:ascii="Verdana" w:hAnsi="Verdana"/>
                <w:sz w:val="18"/>
              </w:rPr>
              <w:t>in accordance with the consumer data rules.</w:t>
            </w:r>
          </w:p>
        </w:tc>
        <w:tc>
          <w:tcPr>
            <w:tcW w:w="5045" w:type="dxa"/>
          </w:tcPr>
          <w:p w14:paraId="5756486D" w14:textId="79F889D3" w:rsidR="00EA412C" w:rsidRPr="00F12522" w:rsidRDefault="00EA412C" w:rsidP="00E64A4A">
            <w:pPr>
              <w:spacing w:before="120" w:after="120"/>
              <w:rPr>
                <w:rFonts w:ascii="Verdana" w:hAnsi="Verdana"/>
                <w:i/>
                <w:sz w:val="18"/>
              </w:rPr>
            </w:pPr>
            <w:r>
              <w:rPr>
                <w:rFonts w:ascii="Verdana" w:hAnsi="Verdana"/>
                <w:sz w:val="18"/>
              </w:rPr>
              <w:t xml:space="preserve">See comments in Rules </w:t>
            </w:r>
            <w:r w:rsidR="00264DB9">
              <w:rPr>
                <w:rFonts w:ascii="Verdana" w:hAnsi="Verdana"/>
                <w:sz w:val="18"/>
              </w:rPr>
              <w:t>table above</w:t>
            </w:r>
          </w:p>
        </w:tc>
        <w:tc>
          <w:tcPr>
            <w:tcW w:w="1243" w:type="dxa"/>
            <w:shd w:val="clear" w:color="auto" w:fill="auto"/>
            <w:vAlign w:val="center"/>
          </w:tcPr>
          <w:p w14:paraId="242554AB" w14:textId="6C43DC2F" w:rsidR="00EA412C" w:rsidRPr="00791489" w:rsidRDefault="00EA412C" w:rsidP="000643B2">
            <w:pPr>
              <w:spacing w:before="120" w:after="120"/>
              <w:jc w:val="center"/>
              <w:rPr>
                <w:rFonts w:ascii="Verdana" w:hAnsi="Verdana"/>
                <w:sz w:val="18"/>
              </w:rPr>
            </w:pPr>
          </w:p>
        </w:tc>
        <w:tc>
          <w:tcPr>
            <w:tcW w:w="1206" w:type="dxa"/>
            <w:shd w:val="clear" w:color="auto" w:fill="auto"/>
            <w:vAlign w:val="center"/>
          </w:tcPr>
          <w:p w14:paraId="41A5E048" w14:textId="08958CB6" w:rsidR="00EA412C" w:rsidRPr="00791489" w:rsidRDefault="00EA412C" w:rsidP="003E40AC">
            <w:pPr>
              <w:spacing w:before="120" w:after="120"/>
              <w:jc w:val="center"/>
              <w:rPr>
                <w:rFonts w:ascii="Verdana" w:hAnsi="Verdana"/>
                <w:sz w:val="18"/>
              </w:rPr>
            </w:pPr>
          </w:p>
        </w:tc>
      </w:tr>
      <w:tr w:rsidR="00264DB9" w:rsidRPr="00791489" w14:paraId="782CDCDB" w14:textId="14AC4371" w:rsidTr="00264DB9">
        <w:tc>
          <w:tcPr>
            <w:tcW w:w="476" w:type="dxa"/>
            <w:tcMar>
              <w:left w:w="57" w:type="dxa"/>
              <w:right w:w="57" w:type="dxa"/>
            </w:tcMar>
            <w:vAlign w:val="center"/>
          </w:tcPr>
          <w:p w14:paraId="6A96CB7E" w14:textId="77777777" w:rsidR="00EA412C" w:rsidRPr="00791489" w:rsidRDefault="00EA412C" w:rsidP="00F4668F">
            <w:pPr>
              <w:spacing w:before="120" w:after="120"/>
              <w:jc w:val="right"/>
              <w:rPr>
                <w:rFonts w:ascii="Verdana" w:hAnsi="Verdana"/>
                <w:sz w:val="18"/>
              </w:rPr>
            </w:pPr>
          </w:p>
        </w:tc>
        <w:tc>
          <w:tcPr>
            <w:tcW w:w="1685" w:type="dxa"/>
          </w:tcPr>
          <w:p w14:paraId="65873452" w14:textId="3E374D21" w:rsidR="00EA412C" w:rsidRDefault="00EA412C" w:rsidP="00F4668F">
            <w:pPr>
              <w:spacing w:before="120" w:after="120"/>
              <w:jc w:val="right"/>
              <w:rPr>
                <w:rFonts w:ascii="Verdana" w:hAnsi="Verdana"/>
                <w:b/>
                <w:sz w:val="18"/>
              </w:rPr>
            </w:pPr>
            <w:r w:rsidRPr="00791489">
              <w:rPr>
                <w:rFonts w:ascii="Verdana" w:hAnsi="Verdana"/>
                <w:sz w:val="18"/>
              </w:rPr>
              <w:t xml:space="preserve">Note </w:t>
            </w:r>
          </w:p>
        </w:tc>
        <w:tc>
          <w:tcPr>
            <w:tcW w:w="4638" w:type="dxa"/>
          </w:tcPr>
          <w:p w14:paraId="0EEF206F" w14:textId="02508FDF" w:rsidR="00EA412C" w:rsidRPr="0047553C" w:rsidRDefault="00EA412C" w:rsidP="00F4668F">
            <w:pPr>
              <w:spacing w:before="120" w:after="120"/>
              <w:rPr>
                <w:rFonts w:ascii="Verdana" w:hAnsi="Verdana"/>
                <w:sz w:val="18"/>
              </w:rPr>
            </w:pPr>
            <w:r w:rsidRPr="00F4668F">
              <w:rPr>
                <w:rFonts w:ascii="Verdana" w:hAnsi="Verdana"/>
                <w:sz w:val="18"/>
              </w:rPr>
              <w:t>Note: One way the consumer data rules could require the policy to be made</w:t>
            </w:r>
            <w:r>
              <w:rPr>
                <w:rFonts w:ascii="Verdana" w:hAnsi="Verdana"/>
                <w:sz w:val="18"/>
              </w:rPr>
              <w:t xml:space="preserve"> </w:t>
            </w:r>
            <w:r w:rsidRPr="00F4668F">
              <w:rPr>
                <w:rFonts w:ascii="Verdana" w:hAnsi="Verdana"/>
                <w:sz w:val="18"/>
              </w:rPr>
              <w:t>available is to require the policy to be made available in accordance with a data standard.</w:t>
            </w:r>
          </w:p>
        </w:tc>
        <w:tc>
          <w:tcPr>
            <w:tcW w:w="5045" w:type="dxa"/>
          </w:tcPr>
          <w:p w14:paraId="2D07435A" w14:textId="7E98B407" w:rsidR="00264DB9" w:rsidRPr="00264DB9" w:rsidRDefault="00264DB9" w:rsidP="00264DB9">
            <w:pPr>
              <w:spacing w:before="120" w:after="120"/>
              <w:rPr>
                <w:rFonts w:ascii="Verdana" w:hAnsi="Verdana"/>
                <w:sz w:val="18"/>
              </w:rPr>
            </w:pPr>
            <w:r>
              <w:rPr>
                <w:rFonts w:ascii="Verdana" w:hAnsi="Verdana"/>
                <w:sz w:val="18"/>
              </w:rPr>
              <w:t>There isn’t a current known data standard to be applied to the policy, so this does not appear to be relevant at present.</w:t>
            </w:r>
          </w:p>
          <w:p w14:paraId="06BBF25B" w14:textId="4ECC50D3" w:rsidR="00EA412C" w:rsidRPr="00F21A6E" w:rsidRDefault="00EA412C" w:rsidP="00F4668F">
            <w:pPr>
              <w:spacing w:before="120" w:after="120"/>
              <w:rPr>
                <w:rFonts w:ascii="Verdana" w:hAnsi="Verdana"/>
                <w:i/>
                <w:iCs/>
                <w:sz w:val="18"/>
              </w:rPr>
            </w:pPr>
          </w:p>
        </w:tc>
        <w:tc>
          <w:tcPr>
            <w:tcW w:w="1243" w:type="dxa"/>
            <w:shd w:val="clear" w:color="auto" w:fill="FFC000"/>
            <w:vAlign w:val="center"/>
          </w:tcPr>
          <w:p w14:paraId="734D5117" w14:textId="170E63D4" w:rsidR="00EA412C" w:rsidRPr="00791489" w:rsidRDefault="00264DB9" w:rsidP="000643B2">
            <w:pPr>
              <w:spacing w:before="120" w:after="120"/>
              <w:jc w:val="center"/>
              <w:rPr>
                <w:rFonts w:ascii="Verdana" w:hAnsi="Verdana"/>
                <w:sz w:val="18"/>
              </w:rPr>
            </w:pPr>
            <w:r>
              <w:rPr>
                <w:rFonts w:ascii="Verdana" w:hAnsi="Verdana"/>
                <w:sz w:val="18"/>
              </w:rPr>
              <w:t>No Fully</w:t>
            </w:r>
          </w:p>
        </w:tc>
        <w:tc>
          <w:tcPr>
            <w:tcW w:w="1206" w:type="dxa"/>
            <w:shd w:val="clear" w:color="auto" w:fill="auto"/>
            <w:vAlign w:val="center"/>
          </w:tcPr>
          <w:p w14:paraId="2FA406B7" w14:textId="0262EE84" w:rsidR="00EA412C" w:rsidRPr="00791489" w:rsidRDefault="00EA412C" w:rsidP="00482557">
            <w:pPr>
              <w:spacing w:before="120" w:after="120"/>
              <w:jc w:val="center"/>
              <w:rPr>
                <w:rFonts w:ascii="Verdana" w:hAnsi="Verdana"/>
                <w:sz w:val="18"/>
              </w:rPr>
            </w:pPr>
          </w:p>
        </w:tc>
      </w:tr>
      <w:tr w:rsidR="00EA412C" w:rsidRPr="00791489" w14:paraId="4CC68B5A" w14:textId="220EB6ED" w:rsidTr="0076467E">
        <w:tc>
          <w:tcPr>
            <w:tcW w:w="476" w:type="dxa"/>
            <w:tcMar>
              <w:left w:w="57" w:type="dxa"/>
              <w:right w:w="57" w:type="dxa"/>
            </w:tcMar>
            <w:vAlign w:val="center"/>
          </w:tcPr>
          <w:p w14:paraId="2A2C6B99" w14:textId="77777777" w:rsidR="00EA412C" w:rsidRDefault="00EA412C" w:rsidP="00C419F7">
            <w:pPr>
              <w:spacing w:before="120" w:after="120"/>
              <w:rPr>
                <w:rFonts w:ascii="Verdana" w:hAnsi="Verdana"/>
                <w:b/>
                <w:sz w:val="18"/>
              </w:rPr>
            </w:pPr>
          </w:p>
        </w:tc>
        <w:tc>
          <w:tcPr>
            <w:tcW w:w="1685" w:type="dxa"/>
          </w:tcPr>
          <w:p w14:paraId="3B60C7C3" w14:textId="36099F2E" w:rsidR="00EA412C" w:rsidRDefault="00EA412C" w:rsidP="00C419F7">
            <w:pPr>
              <w:spacing w:before="120" w:after="120"/>
              <w:rPr>
                <w:rFonts w:ascii="Verdana" w:hAnsi="Verdana"/>
                <w:b/>
                <w:sz w:val="18"/>
              </w:rPr>
            </w:pPr>
            <w:r>
              <w:rPr>
                <w:rFonts w:ascii="Verdana" w:hAnsi="Verdana"/>
                <w:b/>
                <w:sz w:val="18"/>
              </w:rPr>
              <w:t>Act</w:t>
            </w:r>
            <w:r>
              <w:rPr>
                <w:rFonts w:ascii="Verdana" w:hAnsi="Verdana"/>
                <w:b/>
                <w:sz w:val="18"/>
              </w:rPr>
              <w:br/>
              <w:t>56ED(8)</w:t>
            </w:r>
          </w:p>
        </w:tc>
        <w:tc>
          <w:tcPr>
            <w:tcW w:w="4638" w:type="dxa"/>
          </w:tcPr>
          <w:p w14:paraId="0ADC61E1" w14:textId="3AA23795" w:rsidR="00EA412C" w:rsidRPr="006655CB" w:rsidRDefault="00EA412C" w:rsidP="006655CB">
            <w:pPr>
              <w:spacing w:before="120" w:after="120"/>
              <w:rPr>
                <w:rFonts w:ascii="Verdana" w:hAnsi="Verdana"/>
                <w:sz w:val="18"/>
              </w:rPr>
            </w:pPr>
            <w:r w:rsidRPr="006655CB">
              <w:rPr>
                <w:rFonts w:ascii="Verdana" w:hAnsi="Verdana"/>
                <w:sz w:val="18"/>
              </w:rPr>
              <w:t>If a copy of the CDR entity’s policy is requested by a CDR</w:t>
            </w:r>
            <w:r>
              <w:rPr>
                <w:rFonts w:ascii="Verdana" w:hAnsi="Verdana"/>
                <w:sz w:val="18"/>
              </w:rPr>
              <w:t xml:space="preserve"> </w:t>
            </w:r>
            <w:r w:rsidRPr="006655CB">
              <w:rPr>
                <w:rFonts w:ascii="Verdana" w:hAnsi="Verdana"/>
                <w:sz w:val="18"/>
              </w:rPr>
              <w:t>consumer for the CDR data, the CDR entity must give the CDR</w:t>
            </w:r>
            <w:r>
              <w:rPr>
                <w:rFonts w:ascii="Verdana" w:hAnsi="Verdana"/>
                <w:sz w:val="18"/>
              </w:rPr>
              <w:t xml:space="preserve"> </w:t>
            </w:r>
            <w:r w:rsidRPr="006655CB">
              <w:rPr>
                <w:rFonts w:ascii="Verdana" w:hAnsi="Verdana"/>
                <w:sz w:val="18"/>
              </w:rPr>
              <w:t>consumer a copy in accordance with the consumer data rules.</w:t>
            </w:r>
          </w:p>
        </w:tc>
        <w:tc>
          <w:tcPr>
            <w:tcW w:w="5045" w:type="dxa"/>
          </w:tcPr>
          <w:p w14:paraId="0F58867F" w14:textId="77777777" w:rsidR="00EA412C" w:rsidRDefault="00EA412C" w:rsidP="00C419F7">
            <w:pPr>
              <w:spacing w:before="120" w:after="120"/>
              <w:rPr>
                <w:rFonts w:ascii="Verdana" w:hAnsi="Verdana"/>
                <w:sz w:val="18"/>
              </w:rPr>
            </w:pPr>
            <w:r>
              <w:rPr>
                <w:rFonts w:ascii="Verdana" w:hAnsi="Verdana"/>
                <w:sz w:val="18"/>
              </w:rPr>
              <w:t>This is consistent with other bank documents such as the privacy policy.  This is not an issue.</w:t>
            </w:r>
          </w:p>
          <w:p w14:paraId="43A3A6A4" w14:textId="6287555F" w:rsidR="00EA412C" w:rsidRPr="00264DB9" w:rsidRDefault="00EA412C" w:rsidP="00C419F7">
            <w:pPr>
              <w:spacing w:before="120" w:after="120"/>
              <w:rPr>
                <w:rFonts w:ascii="Verdana" w:hAnsi="Verdana"/>
                <w:iCs/>
                <w:sz w:val="18"/>
              </w:rPr>
            </w:pPr>
            <w:r w:rsidRPr="00264DB9">
              <w:rPr>
                <w:rFonts w:ascii="Verdana" w:hAnsi="Verdana"/>
                <w:iCs/>
                <w:sz w:val="18"/>
              </w:rPr>
              <w:t>Referenced in Rules 7.2 (9)</w:t>
            </w:r>
          </w:p>
        </w:tc>
        <w:tc>
          <w:tcPr>
            <w:tcW w:w="1243" w:type="dxa"/>
            <w:shd w:val="clear" w:color="auto" w:fill="auto"/>
            <w:vAlign w:val="center"/>
          </w:tcPr>
          <w:p w14:paraId="783CBA5D" w14:textId="317CCB0C" w:rsidR="00EA412C" w:rsidRPr="00791489" w:rsidRDefault="00EA412C" w:rsidP="000643B2">
            <w:pPr>
              <w:spacing w:before="120" w:after="120"/>
              <w:jc w:val="center"/>
              <w:rPr>
                <w:rFonts w:ascii="Verdana" w:hAnsi="Verdana"/>
                <w:sz w:val="18"/>
              </w:rPr>
            </w:pPr>
          </w:p>
        </w:tc>
        <w:tc>
          <w:tcPr>
            <w:tcW w:w="1206" w:type="dxa"/>
            <w:shd w:val="clear" w:color="auto" w:fill="auto"/>
            <w:vAlign w:val="center"/>
          </w:tcPr>
          <w:p w14:paraId="298C67DC" w14:textId="40E87928" w:rsidR="00EA412C" w:rsidRPr="00791489" w:rsidRDefault="00EA412C" w:rsidP="00482557">
            <w:pPr>
              <w:spacing w:before="120" w:after="120"/>
              <w:jc w:val="center"/>
              <w:rPr>
                <w:rFonts w:ascii="Verdana" w:hAnsi="Verdana"/>
                <w:sz w:val="18"/>
              </w:rPr>
            </w:pPr>
          </w:p>
        </w:tc>
      </w:tr>
    </w:tbl>
    <w:p w14:paraId="06150003" w14:textId="32683419" w:rsidR="004E31D2" w:rsidRDefault="004E31D2">
      <w:pPr>
        <w:rPr>
          <w:rFonts w:ascii="Verdana" w:hAnsi="Verdana"/>
          <w:sz w:val="14"/>
          <w:lang w:val="en-US"/>
        </w:rPr>
      </w:pPr>
      <w:r>
        <w:rPr>
          <w:rFonts w:ascii="Verdana" w:hAnsi="Verdana"/>
          <w:sz w:val="14"/>
          <w:lang w:val="en-US"/>
        </w:rPr>
        <w:br w:type="page"/>
      </w:r>
    </w:p>
    <w:p w14:paraId="0DFB74DD" w14:textId="6FC2F1DD" w:rsidR="004C65B4" w:rsidRDefault="004E31D2" w:rsidP="004C65B4">
      <w:pPr>
        <w:spacing w:before="120" w:after="120"/>
        <w:jc w:val="center"/>
        <w:rPr>
          <w:rFonts w:ascii="Verdana" w:hAnsi="Verdana"/>
          <w:b/>
        </w:rPr>
      </w:pPr>
      <w:r w:rsidRPr="00791489">
        <w:rPr>
          <w:rFonts w:ascii="Verdana" w:hAnsi="Verdana"/>
          <w:b/>
        </w:rPr>
        <w:lastRenderedPageBreak/>
        <w:t xml:space="preserve">CDR Policy </w:t>
      </w:r>
      <w:r>
        <w:rPr>
          <w:rFonts w:ascii="Verdana" w:hAnsi="Verdana"/>
          <w:b/>
        </w:rPr>
        <w:t>Requirements Cross-Reference</w:t>
      </w:r>
    </w:p>
    <w:p w14:paraId="00EADAB7" w14:textId="5F9FBBFB" w:rsidR="004E31D2" w:rsidRPr="004C65B4" w:rsidRDefault="00E412F0" w:rsidP="004C65B4">
      <w:pPr>
        <w:spacing w:before="120" w:after="120"/>
        <w:jc w:val="center"/>
        <w:rPr>
          <w:rFonts w:ascii="Verdana" w:hAnsi="Verdana"/>
          <w:b/>
        </w:rPr>
      </w:pPr>
      <w:r w:rsidRPr="004C65B4">
        <w:rPr>
          <w:rFonts w:ascii="Verdana" w:hAnsi="Verdana"/>
          <w:b/>
        </w:rPr>
        <w:t xml:space="preserve">CDR Rules </w:t>
      </w:r>
      <w:r w:rsidR="00E46FCC" w:rsidRPr="004C65B4">
        <w:rPr>
          <w:rFonts w:ascii="Verdana" w:hAnsi="Verdana"/>
          <w:b/>
        </w:rPr>
        <w:t>Explanatory Statement</w:t>
      </w:r>
      <w:r w:rsidR="004C65B4" w:rsidRPr="004C65B4">
        <w:rPr>
          <w:rFonts w:ascii="Verdana" w:hAnsi="Verdana"/>
          <w:b/>
        </w:rPr>
        <w:t xml:space="preserve"> (February 2020)</w:t>
      </w:r>
    </w:p>
    <w:tbl>
      <w:tblPr>
        <w:tblStyle w:val="TableGrid"/>
        <w:tblW w:w="14454" w:type="dxa"/>
        <w:tblLook w:val="04A0" w:firstRow="1" w:lastRow="0" w:firstColumn="1" w:lastColumn="0" w:noHBand="0" w:noVBand="1"/>
      </w:tblPr>
      <w:tblGrid>
        <w:gridCol w:w="476"/>
        <w:gridCol w:w="1651"/>
        <w:gridCol w:w="5450"/>
        <w:gridCol w:w="4467"/>
        <w:gridCol w:w="1276"/>
        <w:gridCol w:w="1134"/>
      </w:tblGrid>
      <w:tr w:rsidR="004C65B4" w:rsidRPr="00791489" w14:paraId="0FD6B358" w14:textId="2ECFDE62" w:rsidTr="004C65B4">
        <w:trPr>
          <w:tblHeader/>
        </w:trPr>
        <w:tc>
          <w:tcPr>
            <w:tcW w:w="476" w:type="dxa"/>
            <w:shd w:val="clear" w:color="auto" w:fill="BDD6EE" w:themeFill="accent5" w:themeFillTint="66"/>
            <w:tcMar>
              <w:left w:w="57" w:type="dxa"/>
              <w:right w:w="57" w:type="dxa"/>
            </w:tcMar>
          </w:tcPr>
          <w:p w14:paraId="3A6477AB" w14:textId="01EF82AE" w:rsidR="004C65B4" w:rsidRDefault="004C65B4" w:rsidP="00E64A4A">
            <w:pPr>
              <w:spacing w:before="120" w:after="120"/>
              <w:rPr>
                <w:rFonts w:ascii="Verdana" w:hAnsi="Verdana"/>
                <w:b/>
                <w:sz w:val="18"/>
              </w:rPr>
            </w:pPr>
            <w:r>
              <w:rPr>
                <w:rFonts w:ascii="Verdana" w:hAnsi="Verdana"/>
                <w:b/>
                <w:sz w:val="18"/>
              </w:rPr>
              <w:t>DR DH</w:t>
            </w:r>
          </w:p>
        </w:tc>
        <w:tc>
          <w:tcPr>
            <w:tcW w:w="1651" w:type="dxa"/>
            <w:shd w:val="clear" w:color="auto" w:fill="BDD6EE" w:themeFill="accent5" w:themeFillTint="66"/>
          </w:tcPr>
          <w:p w14:paraId="4CD5613E" w14:textId="10FFA4DD" w:rsidR="004C65B4" w:rsidRPr="00791489" w:rsidRDefault="004C65B4" w:rsidP="00E64A4A">
            <w:pPr>
              <w:spacing w:before="120" w:after="120"/>
              <w:rPr>
                <w:rFonts w:ascii="Verdana" w:hAnsi="Verdana"/>
                <w:b/>
                <w:sz w:val="18"/>
              </w:rPr>
            </w:pPr>
            <w:r>
              <w:rPr>
                <w:rFonts w:ascii="Verdana" w:hAnsi="Verdana"/>
                <w:b/>
                <w:sz w:val="18"/>
              </w:rPr>
              <w:t>Ref</w:t>
            </w:r>
          </w:p>
        </w:tc>
        <w:tc>
          <w:tcPr>
            <w:tcW w:w="5450" w:type="dxa"/>
            <w:shd w:val="clear" w:color="auto" w:fill="BDD6EE" w:themeFill="accent5" w:themeFillTint="66"/>
          </w:tcPr>
          <w:p w14:paraId="31005B4C" w14:textId="77777777" w:rsidR="004C65B4" w:rsidRPr="00791489" w:rsidRDefault="004C65B4" w:rsidP="00E64A4A">
            <w:pPr>
              <w:spacing w:before="120" w:after="120"/>
              <w:rPr>
                <w:rFonts w:ascii="Verdana" w:hAnsi="Verdana"/>
                <w:b/>
                <w:sz w:val="18"/>
              </w:rPr>
            </w:pPr>
            <w:r w:rsidRPr="00791489">
              <w:rPr>
                <w:rFonts w:ascii="Verdana" w:hAnsi="Verdana"/>
                <w:b/>
                <w:sz w:val="18"/>
              </w:rPr>
              <w:t>Content</w:t>
            </w:r>
          </w:p>
        </w:tc>
        <w:tc>
          <w:tcPr>
            <w:tcW w:w="4467" w:type="dxa"/>
            <w:shd w:val="clear" w:color="auto" w:fill="BDD6EE" w:themeFill="accent5" w:themeFillTint="66"/>
          </w:tcPr>
          <w:p w14:paraId="75BB3465" w14:textId="77777777" w:rsidR="004C65B4" w:rsidRPr="00791489" w:rsidRDefault="004C65B4" w:rsidP="00E64A4A">
            <w:pPr>
              <w:spacing w:before="120" w:after="120"/>
              <w:rPr>
                <w:rFonts w:ascii="Verdana" w:hAnsi="Verdana"/>
                <w:b/>
                <w:sz w:val="18"/>
              </w:rPr>
            </w:pPr>
            <w:r w:rsidRPr="00791489">
              <w:rPr>
                <w:rFonts w:ascii="Verdana" w:hAnsi="Verdana"/>
                <w:b/>
                <w:sz w:val="18"/>
              </w:rPr>
              <w:t xml:space="preserve">Comment </w:t>
            </w:r>
          </w:p>
        </w:tc>
        <w:tc>
          <w:tcPr>
            <w:tcW w:w="1276" w:type="dxa"/>
            <w:shd w:val="clear" w:color="auto" w:fill="BDD6EE" w:themeFill="accent5" w:themeFillTint="66"/>
            <w:vAlign w:val="center"/>
          </w:tcPr>
          <w:p w14:paraId="29D5F2F7" w14:textId="59DC74CE" w:rsidR="004C65B4" w:rsidRPr="00D428AA" w:rsidRDefault="004C65B4" w:rsidP="00D428AA">
            <w:pPr>
              <w:spacing w:before="120" w:after="120"/>
              <w:jc w:val="center"/>
              <w:rPr>
                <w:rFonts w:ascii="Verdana" w:hAnsi="Verdana"/>
                <w:b/>
                <w:sz w:val="16"/>
              </w:rPr>
            </w:pPr>
            <w:r w:rsidRPr="00D428AA">
              <w:rPr>
                <w:rFonts w:ascii="Verdana" w:hAnsi="Verdana"/>
                <w:b/>
                <w:sz w:val="16"/>
              </w:rPr>
              <w:t xml:space="preserve">Do </w:t>
            </w:r>
            <w:r>
              <w:rPr>
                <w:rFonts w:ascii="Verdana" w:hAnsi="Verdana"/>
                <w:b/>
                <w:sz w:val="16"/>
              </w:rPr>
              <w:t>we fully</w:t>
            </w:r>
            <w:r w:rsidRPr="00D428AA">
              <w:rPr>
                <w:rFonts w:ascii="Verdana" w:hAnsi="Verdana"/>
                <w:b/>
                <w:sz w:val="16"/>
              </w:rPr>
              <w:t xml:space="preserve"> </w:t>
            </w:r>
            <w:r>
              <w:rPr>
                <w:rFonts w:ascii="Verdana" w:hAnsi="Verdana"/>
                <w:b/>
                <w:sz w:val="16"/>
              </w:rPr>
              <w:t>u</w:t>
            </w:r>
            <w:r w:rsidRPr="00D428AA">
              <w:rPr>
                <w:rFonts w:ascii="Verdana" w:hAnsi="Verdana"/>
                <w:b/>
                <w:sz w:val="16"/>
              </w:rPr>
              <w:t>nderstand</w:t>
            </w:r>
            <w:r>
              <w:rPr>
                <w:rFonts w:ascii="Verdana" w:hAnsi="Verdana"/>
                <w:b/>
                <w:sz w:val="16"/>
              </w:rPr>
              <w:t xml:space="preserve"> this?</w:t>
            </w:r>
          </w:p>
        </w:tc>
        <w:tc>
          <w:tcPr>
            <w:tcW w:w="1134" w:type="dxa"/>
            <w:shd w:val="clear" w:color="auto" w:fill="BDD6EE" w:themeFill="accent5" w:themeFillTint="66"/>
            <w:tcMar>
              <w:left w:w="28" w:type="dxa"/>
              <w:right w:w="28" w:type="dxa"/>
            </w:tcMar>
            <w:vAlign w:val="center"/>
          </w:tcPr>
          <w:p w14:paraId="779320C0" w14:textId="62C045DE" w:rsidR="004C65B4" w:rsidRPr="00D428AA" w:rsidRDefault="004C65B4" w:rsidP="00D428AA">
            <w:pPr>
              <w:spacing w:before="120" w:after="120"/>
              <w:jc w:val="center"/>
              <w:rPr>
                <w:rFonts w:ascii="Verdana" w:hAnsi="Verdana"/>
                <w:b/>
                <w:sz w:val="16"/>
              </w:rPr>
            </w:pPr>
            <w:r>
              <w:rPr>
                <w:rFonts w:ascii="Verdana" w:hAnsi="Verdana"/>
                <w:b/>
                <w:sz w:val="16"/>
              </w:rPr>
              <w:t>Does our CDR Policy comply?</w:t>
            </w:r>
          </w:p>
        </w:tc>
      </w:tr>
      <w:tr w:rsidR="004C65B4" w:rsidRPr="00791489" w14:paraId="48785A07" w14:textId="08D8C8CF" w:rsidTr="004C65B4">
        <w:tc>
          <w:tcPr>
            <w:tcW w:w="476" w:type="dxa"/>
            <w:tcMar>
              <w:left w:w="57" w:type="dxa"/>
              <w:right w:w="57" w:type="dxa"/>
            </w:tcMar>
            <w:vAlign w:val="center"/>
          </w:tcPr>
          <w:p w14:paraId="7D0345D8" w14:textId="77777777" w:rsidR="004C65B4" w:rsidRDefault="004C65B4" w:rsidP="00FA5A67">
            <w:pPr>
              <w:spacing w:before="120" w:after="120"/>
              <w:rPr>
                <w:rFonts w:ascii="Verdana" w:hAnsi="Verdana"/>
                <w:i/>
                <w:color w:val="231F20"/>
                <w:sz w:val="18"/>
              </w:rPr>
            </w:pPr>
          </w:p>
        </w:tc>
        <w:tc>
          <w:tcPr>
            <w:tcW w:w="12844" w:type="dxa"/>
            <w:gridSpan w:val="4"/>
            <w:vAlign w:val="center"/>
          </w:tcPr>
          <w:p w14:paraId="3AAAE0A1" w14:textId="3B4FBC9A" w:rsidR="004C65B4" w:rsidRPr="00791489" w:rsidRDefault="004C65B4" w:rsidP="00FA5A67">
            <w:pPr>
              <w:spacing w:before="120" w:after="120"/>
              <w:rPr>
                <w:rFonts w:ascii="Verdana" w:hAnsi="Verdana"/>
                <w:sz w:val="18"/>
              </w:rPr>
            </w:pPr>
            <w:r>
              <w:rPr>
                <w:rFonts w:ascii="Verdana" w:hAnsi="Verdana"/>
                <w:i/>
                <w:color w:val="231F20"/>
                <w:sz w:val="18"/>
              </w:rPr>
              <w:t xml:space="preserve">Division 7.2 – Rules relating to privacy safeguards, </w:t>
            </w:r>
            <w:r>
              <w:rPr>
                <w:rFonts w:ascii="Verdana" w:hAnsi="Verdana"/>
                <w:sz w:val="18"/>
              </w:rPr>
              <w:t>Subdivision 7.2.1 – Rules relating to consideration of CDR data privacy</w:t>
            </w:r>
            <w:r>
              <w:rPr>
                <w:rFonts w:ascii="Verdana" w:hAnsi="Verdana"/>
                <w:sz w:val="18"/>
              </w:rPr>
              <w:br/>
              <w:t>Privacy Safeguard 1 – open and transparent management of CDR data</w:t>
            </w:r>
            <w:r>
              <w:rPr>
                <w:rFonts w:ascii="Verdana" w:hAnsi="Verdana"/>
                <w:sz w:val="18"/>
              </w:rPr>
              <w:br/>
              <w:t>Rule 7.2</w:t>
            </w:r>
          </w:p>
        </w:tc>
        <w:tc>
          <w:tcPr>
            <w:tcW w:w="1134" w:type="dxa"/>
            <w:vAlign w:val="center"/>
          </w:tcPr>
          <w:p w14:paraId="7F9C7068" w14:textId="77777777" w:rsidR="004C65B4" w:rsidRDefault="004C65B4" w:rsidP="00E64A4A">
            <w:pPr>
              <w:spacing w:before="120" w:after="120"/>
              <w:rPr>
                <w:rFonts w:ascii="Verdana" w:hAnsi="Verdana"/>
                <w:i/>
                <w:color w:val="231F20"/>
                <w:sz w:val="18"/>
              </w:rPr>
            </w:pPr>
          </w:p>
        </w:tc>
      </w:tr>
      <w:tr w:rsidR="004C65B4" w:rsidRPr="00791489" w14:paraId="1C428FCA" w14:textId="7EF3118E" w:rsidTr="004C65B4">
        <w:tc>
          <w:tcPr>
            <w:tcW w:w="476" w:type="dxa"/>
            <w:tcMar>
              <w:left w:w="57" w:type="dxa"/>
              <w:right w:w="57" w:type="dxa"/>
            </w:tcMar>
            <w:vAlign w:val="center"/>
          </w:tcPr>
          <w:p w14:paraId="4345E929" w14:textId="77777777" w:rsidR="004C65B4" w:rsidRDefault="004C65B4" w:rsidP="00E412F0">
            <w:pPr>
              <w:spacing w:before="120" w:after="120"/>
              <w:rPr>
                <w:rFonts w:ascii="Verdana" w:hAnsi="Verdana"/>
                <w:b/>
                <w:sz w:val="18"/>
              </w:rPr>
            </w:pPr>
          </w:p>
        </w:tc>
        <w:tc>
          <w:tcPr>
            <w:tcW w:w="1651" w:type="dxa"/>
          </w:tcPr>
          <w:p w14:paraId="70EA7BCC" w14:textId="019B70E0" w:rsidR="004C65B4" w:rsidRPr="001D0BE7" w:rsidRDefault="004C65B4" w:rsidP="00E412F0">
            <w:pPr>
              <w:spacing w:before="120" w:after="120"/>
              <w:rPr>
                <w:rFonts w:ascii="Verdana" w:hAnsi="Verdana"/>
                <w:sz w:val="18"/>
              </w:rPr>
            </w:pPr>
            <w:r>
              <w:rPr>
                <w:rFonts w:ascii="Verdana" w:hAnsi="Verdana"/>
                <w:b/>
                <w:sz w:val="18"/>
              </w:rPr>
              <w:t>ES 212</w:t>
            </w:r>
          </w:p>
        </w:tc>
        <w:tc>
          <w:tcPr>
            <w:tcW w:w="5450" w:type="dxa"/>
          </w:tcPr>
          <w:p w14:paraId="6E9C3924" w14:textId="2727A82B" w:rsidR="004C65B4" w:rsidRPr="0076305F" w:rsidRDefault="004C65B4" w:rsidP="00D01DFF">
            <w:pPr>
              <w:spacing w:before="120" w:after="120"/>
              <w:rPr>
                <w:rFonts w:ascii="Verdana" w:hAnsi="Verdana"/>
                <w:sz w:val="18"/>
              </w:rPr>
            </w:pPr>
            <w:r w:rsidRPr="00D01DFF">
              <w:rPr>
                <w:rFonts w:ascii="Verdana" w:hAnsi="Verdana"/>
                <w:sz w:val="18"/>
              </w:rPr>
              <w:t>Data holders and accredited data recipients are required to have a policy about the</w:t>
            </w:r>
            <w:r>
              <w:rPr>
                <w:rFonts w:ascii="Verdana" w:hAnsi="Verdana"/>
                <w:sz w:val="18"/>
              </w:rPr>
              <w:t xml:space="preserve"> </w:t>
            </w:r>
            <w:r w:rsidRPr="00D01DFF">
              <w:rPr>
                <w:rFonts w:ascii="Verdana" w:hAnsi="Verdana"/>
                <w:sz w:val="18"/>
              </w:rPr>
              <w:t>management of CDR data that they make readily available online (CDR policy).</w:t>
            </w:r>
            <w:r>
              <w:rPr>
                <w:rFonts w:ascii="Verdana" w:hAnsi="Verdana"/>
                <w:sz w:val="18"/>
              </w:rPr>
              <w:t xml:space="preserve">  </w:t>
            </w:r>
            <w:r w:rsidRPr="00D01DFF">
              <w:rPr>
                <w:rFonts w:ascii="Verdana" w:hAnsi="Verdana"/>
                <w:sz w:val="18"/>
              </w:rPr>
              <w:t>Section 56ED of the Act sets out the matters that the policy must contain</w:t>
            </w:r>
            <w:r>
              <w:rPr>
                <w:rFonts w:ascii="Verdana" w:hAnsi="Verdana"/>
                <w:sz w:val="18"/>
              </w:rPr>
              <w:t>.  T</w:t>
            </w:r>
            <w:r w:rsidRPr="00D01DFF">
              <w:rPr>
                <w:rFonts w:ascii="Verdana" w:hAnsi="Verdana"/>
                <w:sz w:val="18"/>
              </w:rPr>
              <w:t>he</w:t>
            </w:r>
            <w:r>
              <w:rPr>
                <w:rFonts w:ascii="Verdana" w:hAnsi="Verdana"/>
                <w:sz w:val="18"/>
              </w:rPr>
              <w:t xml:space="preserve"> </w:t>
            </w:r>
            <w:r w:rsidRPr="00D01DFF">
              <w:rPr>
                <w:rFonts w:ascii="Verdana" w:hAnsi="Verdana"/>
                <w:sz w:val="18"/>
              </w:rPr>
              <w:t>rules set out additional information that the policy must contain and how it should be</w:t>
            </w:r>
            <w:r>
              <w:rPr>
                <w:rFonts w:ascii="Verdana" w:hAnsi="Verdana"/>
                <w:sz w:val="18"/>
              </w:rPr>
              <w:t xml:space="preserve"> </w:t>
            </w:r>
            <w:r w:rsidRPr="00D01DFF">
              <w:rPr>
                <w:rFonts w:ascii="Verdana" w:hAnsi="Verdana"/>
                <w:sz w:val="18"/>
              </w:rPr>
              <w:t>made available to consumers.</w:t>
            </w:r>
          </w:p>
        </w:tc>
        <w:tc>
          <w:tcPr>
            <w:tcW w:w="4467" w:type="dxa"/>
          </w:tcPr>
          <w:p w14:paraId="654D4F6E" w14:textId="77777777" w:rsidR="004C65B4" w:rsidRDefault="004A4C11" w:rsidP="00E64A4A">
            <w:pPr>
              <w:spacing w:before="120" w:after="120"/>
              <w:rPr>
                <w:rFonts w:ascii="Verdana" w:hAnsi="Verdana"/>
                <w:sz w:val="18"/>
              </w:rPr>
            </w:pPr>
            <w:r>
              <w:rPr>
                <w:rFonts w:ascii="Verdana" w:hAnsi="Verdana"/>
                <w:sz w:val="18"/>
              </w:rPr>
              <w:t>See comments for Rule 7.2(1) and (2)</w:t>
            </w:r>
          </w:p>
          <w:p w14:paraId="7A4919FA" w14:textId="05651BB4" w:rsidR="004A4C11" w:rsidRPr="00791489" w:rsidRDefault="004A4C11" w:rsidP="00E64A4A">
            <w:pPr>
              <w:spacing w:before="120" w:after="120"/>
              <w:rPr>
                <w:rFonts w:ascii="Verdana" w:hAnsi="Verdana"/>
                <w:sz w:val="18"/>
              </w:rPr>
            </w:pPr>
            <w:r>
              <w:rPr>
                <w:rFonts w:ascii="Verdana" w:hAnsi="Verdana"/>
                <w:sz w:val="18"/>
              </w:rPr>
              <w:t>Clauses in these 3 cross-reference tables will ensure compliance with Rules and the Act.</w:t>
            </w:r>
          </w:p>
        </w:tc>
        <w:tc>
          <w:tcPr>
            <w:tcW w:w="1276" w:type="dxa"/>
            <w:shd w:val="clear" w:color="auto" w:fill="92D050"/>
            <w:vAlign w:val="center"/>
          </w:tcPr>
          <w:p w14:paraId="61768E6B" w14:textId="59EFEA40" w:rsidR="004C65B4" w:rsidRPr="00791489" w:rsidRDefault="004C65B4" w:rsidP="00151977">
            <w:pPr>
              <w:spacing w:before="120" w:after="120"/>
              <w:jc w:val="center"/>
              <w:rPr>
                <w:rFonts w:ascii="Verdana" w:hAnsi="Verdana"/>
                <w:sz w:val="18"/>
              </w:rPr>
            </w:pPr>
            <w:r>
              <w:rPr>
                <w:rFonts w:ascii="Verdana" w:hAnsi="Verdana"/>
                <w:sz w:val="18"/>
              </w:rPr>
              <w:t>Yes</w:t>
            </w:r>
          </w:p>
        </w:tc>
        <w:tc>
          <w:tcPr>
            <w:tcW w:w="1134" w:type="dxa"/>
            <w:shd w:val="clear" w:color="auto" w:fill="92D050"/>
            <w:vAlign w:val="center"/>
          </w:tcPr>
          <w:p w14:paraId="4DF58293" w14:textId="19B830FB" w:rsidR="004C65B4" w:rsidRPr="00791489" w:rsidRDefault="002D6474" w:rsidP="003D63BE">
            <w:pPr>
              <w:spacing w:before="120" w:after="120"/>
              <w:jc w:val="center"/>
              <w:rPr>
                <w:rFonts w:ascii="Verdana" w:hAnsi="Verdana"/>
                <w:sz w:val="18"/>
              </w:rPr>
            </w:pPr>
            <w:r>
              <w:rPr>
                <w:rFonts w:ascii="Verdana" w:hAnsi="Verdana"/>
                <w:sz w:val="18"/>
              </w:rPr>
              <w:t>No policy content required</w:t>
            </w:r>
          </w:p>
        </w:tc>
      </w:tr>
      <w:tr w:rsidR="004C65B4" w:rsidRPr="00791489" w14:paraId="4665697E" w14:textId="26D462BF" w:rsidTr="00B45E42">
        <w:tc>
          <w:tcPr>
            <w:tcW w:w="476" w:type="dxa"/>
            <w:tcMar>
              <w:left w:w="57" w:type="dxa"/>
              <w:right w:w="57" w:type="dxa"/>
            </w:tcMar>
            <w:vAlign w:val="center"/>
          </w:tcPr>
          <w:p w14:paraId="0B444290" w14:textId="3891E3C9" w:rsidR="004C65B4" w:rsidRDefault="004C65B4" w:rsidP="000E3A33">
            <w:pPr>
              <w:spacing w:before="120" w:after="120"/>
              <w:rPr>
                <w:rFonts w:ascii="Verdana" w:hAnsi="Verdana"/>
                <w:b/>
                <w:sz w:val="18"/>
              </w:rPr>
            </w:pPr>
          </w:p>
        </w:tc>
        <w:tc>
          <w:tcPr>
            <w:tcW w:w="1651" w:type="dxa"/>
          </w:tcPr>
          <w:p w14:paraId="6EDB0E0A" w14:textId="6C0EB50A" w:rsidR="004C65B4" w:rsidRDefault="004C65B4" w:rsidP="000E3A33">
            <w:pPr>
              <w:spacing w:before="120" w:after="120"/>
              <w:rPr>
                <w:rFonts w:ascii="Verdana" w:hAnsi="Verdana"/>
                <w:b/>
                <w:sz w:val="18"/>
              </w:rPr>
            </w:pPr>
            <w:r>
              <w:rPr>
                <w:rFonts w:ascii="Verdana" w:hAnsi="Verdana"/>
                <w:b/>
                <w:sz w:val="18"/>
              </w:rPr>
              <w:t>ES 213</w:t>
            </w:r>
          </w:p>
        </w:tc>
        <w:tc>
          <w:tcPr>
            <w:tcW w:w="5450" w:type="dxa"/>
          </w:tcPr>
          <w:p w14:paraId="64B680B4" w14:textId="56D6F55D" w:rsidR="004C65B4" w:rsidRPr="00D01DFF" w:rsidRDefault="004C65B4" w:rsidP="00D156F0">
            <w:pPr>
              <w:spacing w:before="120" w:after="120"/>
              <w:rPr>
                <w:rFonts w:ascii="Verdana" w:hAnsi="Verdana"/>
                <w:sz w:val="18"/>
              </w:rPr>
            </w:pPr>
            <w:r w:rsidRPr="00D156F0">
              <w:rPr>
                <w:rFonts w:ascii="Verdana" w:hAnsi="Verdana"/>
                <w:sz w:val="18"/>
              </w:rPr>
              <w:t>A CDR policy is taken to be in the approved form if it follows the approach to content</w:t>
            </w:r>
            <w:r>
              <w:rPr>
                <w:rFonts w:ascii="Verdana" w:hAnsi="Verdana"/>
                <w:sz w:val="18"/>
              </w:rPr>
              <w:t xml:space="preserve"> </w:t>
            </w:r>
            <w:r w:rsidRPr="00D156F0">
              <w:rPr>
                <w:rFonts w:ascii="Verdana" w:hAnsi="Verdana"/>
                <w:sz w:val="18"/>
              </w:rPr>
              <w:t>and structure set out in OAIC Guidelines, or any other guidance on Privacy</w:t>
            </w:r>
            <w:r>
              <w:rPr>
                <w:rFonts w:ascii="Verdana" w:hAnsi="Verdana"/>
                <w:sz w:val="18"/>
              </w:rPr>
              <w:t xml:space="preserve"> </w:t>
            </w:r>
            <w:r w:rsidRPr="00D156F0">
              <w:rPr>
                <w:rFonts w:ascii="Verdana" w:hAnsi="Verdana"/>
                <w:sz w:val="18"/>
              </w:rPr>
              <w:t>Safeguard 1 referred to in those Guidelines. A CDR policy must be a separate</w:t>
            </w:r>
            <w:r>
              <w:rPr>
                <w:rFonts w:ascii="Verdana" w:hAnsi="Verdana"/>
                <w:sz w:val="18"/>
              </w:rPr>
              <w:t xml:space="preserve"> </w:t>
            </w:r>
            <w:r w:rsidRPr="00D156F0">
              <w:rPr>
                <w:rFonts w:ascii="Verdana" w:hAnsi="Verdana"/>
                <w:sz w:val="18"/>
              </w:rPr>
              <w:t>document to the entity’s general privacy or other policies.</w:t>
            </w:r>
            <w:r>
              <w:rPr>
                <w:rFonts w:ascii="Verdana" w:hAnsi="Verdana"/>
                <w:sz w:val="18"/>
              </w:rPr>
              <w:t xml:space="preserve"> </w:t>
            </w:r>
            <w:r w:rsidRPr="00D156F0">
              <w:rPr>
                <w:rFonts w:ascii="Verdana" w:hAnsi="Verdana"/>
                <w:sz w:val="18"/>
              </w:rPr>
              <w:t>Where a person is both an</w:t>
            </w:r>
            <w:r>
              <w:rPr>
                <w:rFonts w:ascii="Verdana" w:hAnsi="Verdana"/>
                <w:sz w:val="18"/>
              </w:rPr>
              <w:t xml:space="preserve"> </w:t>
            </w:r>
            <w:r w:rsidRPr="00D156F0">
              <w:rPr>
                <w:rFonts w:ascii="Verdana" w:hAnsi="Verdana"/>
                <w:sz w:val="18"/>
              </w:rPr>
              <w:t>accredited data recipient and a data holder</w:t>
            </w:r>
            <w:r>
              <w:rPr>
                <w:rFonts w:ascii="Verdana" w:hAnsi="Verdana"/>
                <w:sz w:val="18"/>
              </w:rPr>
              <w:t xml:space="preserve">, the person </w:t>
            </w:r>
            <w:r w:rsidRPr="00D156F0">
              <w:rPr>
                <w:rFonts w:ascii="Verdana" w:hAnsi="Verdana"/>
                <w:sz w:val="18"/>
              </w:rPr>
              <w:t xml:space="preserve">may have two </w:t>
            </w:r>
            <w:r>
              <w:rPr>
                <w:rFonts w:ascii="Verdana" w:hAnsi="Verdana"/>
                <w:sz w:val="18"/>
              </w:rPr>
              <w:t>separate CDR policies or a single C</w:t>
            </w:r>
            <w:r w:rsidRPr="00D156F0">
              <w:rPr>
                <w:rFonts w:ascii="Verdana" w:hAnsi="Verdana"/>
                <w:sz w:val="18"/>
              </w:rPr>
              <w:t>DR</w:t>
            </w:r>
            <w:r>
              <w:rPr>
                <w:rFonts w:ascii="Verdana" w:hAnsi="Verdana"/>
                <w:sz w:val="18"/>
              </w:rPr>
              <w:t xml:space="preserve"> </w:t>
            </w:r>
            <w:r w:rsidRPr="00D156F0">
              <w:rPr>
                <w:rFonts w:ascii="Verdana" w:hAnsi="Verdana"/>
                <w:sz w:val="18"/>
              </w:rPr>
              <w:t xml:space="preserve">policy, provided </w:t>
            </w:r>
            <w:r>
              <w:rPr>
                <w:rFonts w:ascii="Verdana" w:hAnsi="Verdana"/>
                <w:sz w:val="18"/>
              </w:rPr>
              <w:t xml:space="preserve">that </w:t>
            </w:r>
            <w:r w:rsidRPr="00D156F0">
              <w:rPr>
                <w:rFonts w:ascii="Verdana" w:hAnsi="Verdana"/>
                <w:sz w:val="18"/>
              </w:rPr>
              <w:t xml:space="preserve">the information </w:t>
            </w:r>
            <w:r>
              <w:rPr>
                <w:rFonts w:ascii="Verdana" w:hAnsi="Verdana"/>
                <w:sz w:val="18"/>
              </w:rPr>
              <w:t xml:space="preserve">contained covers </w:t>
            </w:r>
            <w:r w:rsidRPr="00D156F0">
              <w:rPr>
                <w:rFonts w:ascii="Verdana" w:hAnsi="Verdana"/>
                <w:sz w:val="18"/>
              </w:rPr>
              <w:t>the person acting in both capacities.</w:t>
            </w:r>
          </w:p>
        </w:tc>
        <w:tc>
          <w:tcPr>
            <w:tcW w:w="4467" w:type="dxa"/>
          </w:tcPr>
          <w:p w14:paraId="487468F5" w14:textId="670E06CD" w:rsidR="004A4C11" w:rsidRDefault="004A4C11" w:rsidP="000E3A33">
            <w:pPr>
              <w:spacing w:before="120" w:after="120"/>
              <w:rPr>
                <w:rFonts w:ascii="Verdana" w:hAnsi="Verdana"/>
                <w:sz w:val="18"/>
              </w:rPr>
            </w:pPr>
            <w:r>
              <w:rPr>
                <w:rFonts w:ascii="Verdana" w:hAnsi="Verdana"/>
                <w:sz w:val="18"/>
              </w:rPr>
              <w:t>See comments for Rule 7.2(</w:t>
            </w:r>
            <w:r>
              <w:rPr>
                <w:rFonts w:ascii="Verdana" w:hAnsi="Verdana"/>
                <w:sz w:val="18"/>
              </w:rPr>
              <w:t>1</w:t>
            </w:r>
            <w:r>
              <w:rPr>
                <w:rFonts w:ascii="Verdana" w:hAnsi="Verdana"/>
                <w:sz w:val="18"/>
              </w:rPr>
              <w:t>)</w:t>
            </w:r>
            <w:r>
              <w:rPr>
                <w:rFonts w:ascii="Verdana" w:hAnsi="Verdana"/>
                <w:sz w:val="18"/>
              </w:rPr>
              <w:t xml:space="preserve"> and (2)</w:t>
            </w:r>
          </w:p>
        </w:tc>
        <w:tc>
          <w:tcPr>
            <w:tcW w:w="1276" w:type="dxa"/>
            <w:shd w:val="clear" w:color="auto" w:fill="92D050"/>
            <w:vAlign w:val="center"/>
          </w:tcPr>
          <w:p w14:paraId="34EB6A9A" w14:textId="15EA364E" w:rsidR="004C65B4" w:rsidRPr="00791489" w:rsidRDefault="004C65B4" w:rsidP="00063590">
            <w:pPr>
              <w:spacing w:before="120" w:after="120"/>
              <w:jc w:val="center"/>
              <w:rPr>
                <w:rFonts w:ascii="Verdana" w:hAnsi="Verdana"/>
                <w:sz w:val="18"/>
              </w:rPr>
            </w:pPr>
            <w:r>
              <w:rPr>
                <w:rFonts w:ascii="Verdana" w:hAnsi="Verdana"/>
                <w:sz w:val="18"/>
              </w:rPr>
              <w:t>Yes</w:t>
            </w:r>
          </w:p>
        </w:tc>
        <w:tc>
          <w:tcPr>
            <w:tcW w:w="1134" w:type="dxa"/>
            <w:shd w:val="clear" w:color="auto" w:fill="FFC000"/>
            <w:vAlign w:val="center"/>
          </w:tcPr>
          <w:p w14:paraId="3CDD09B6" w14:textId="09B0162A" w:rsidR="004C65B4" w:rsidRPr="00791489" w:rsidRDefault="00B45E42" w:rsidP="008A62CC">
            <w:pPr>
              <w:spacing w:before="120" w:after="120"/>
              <w:jc w:val="center"/>
              <w:rPr>
                <w:rFonts w:ascii="Verdana" w:hAnsi="Verdana"/>
                <w:sz w:val="18"/>
              </w:rPr>
            </w:pPr>
            <w:r>
              <w:rPr>
                <w:rFonts w:ascii="Verdana" w:hAnsi="Verdana"/>
                <w:sz w:val="18"/>
              </w:rPr>
              <w:t>Not Fully</w:t>
            </w:r>
          </w:p>
        </w:tc>
      </w:tr>
      <w:tr w:rsidR="004C65B4" w:rsidRPr="00791489" w14:paraId="73365174" w14:textId="2B7621FC" w:rsidTr="00B45E42">
        <w:tc>
          <w:tcPr>
            <w:tcW w:w="476" w:type="dxa"/>
            <w:tcMar>
              <w:left w:w="57" w:type="dxa"/>
              <w:right w:w="57" w:type="dxa"/>
            </w:tcMar>
            <w:vAlign w:val="center"/>
          </w:tcPr>
          <w:p w14:paraId="084CB621" w14:textId="4FDC73E7" w:rsidR="004C65B4" w:rsidRDefault="004C65B4" w:rsidP="000E3A33">
            <w:pPr>
              <w:spacing w:before="120" w:after="120"/>
              <w:rPr>
                <w:rFonts w:ascii="Verdana" w:hAnsi="Verdana"/>
                <w:b/>
                <w:sz w:val="18"/>
              </w:rPr>
            </w:pPr>
            <w:r>
              <w:rPr>
                <w:rFonts w:ascii="Verdana" w:hAnsi="Verdana"/>
                <w:b/>
                <w:noProof/>
                <w:sz w:val="18"/>
              </w:rPr>
              <w:drawing>
                <wp:inline distT="0" distB="0" distL="0" distR="0" wp14:anchorId="5757559C" wp14:editId="4C7C22B4">
                  <wp:extent cx="230400" cy="230400"/>
                  <wp:effectExtent l="0" t="0" r="0" b="0"/>
                  <wp:docPr id="28" name="Picture 28"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8-circled-h-9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0400" cy="230400"/>
                          </a:xfrm>
                          <a:prstGeom prst="rect">
                            <a:avLst/>
                          </a:prstGeom>
                        </pic:spPr>
                      </pic:pic>
                    </a:graphicData>
                  </a:graphic>
                </wp:inline>
              </w:drawing>
            </w:r>
          </w:p>
        </w:tc>
        <w:tc>
          <w:tcPr>
            <w:tcW w:w="1651" w:type="dxa"/>
          </w:tcPr>
          <w:p w14:paraId="496C1A05" w14:textId="54BA4097" w:rsidR="004C65B4" w:rsidRDefault="004C65B4" w:rsidP="000E3A33">
            <w:pPr>
              <w:spacing w:before="120" w:after="120"/>
              <w:rPr>
                <w:rFonts w:ascii="Verdana" w:hAnsi="Verdana"/>
                <w:b/>
                <w:sz w:val="18"/>
              </w:rPr>
            </w:pPr>
            <w:r>
              <w:rPr>
                <w:rFonts w:ascii="Verdana" w:hAnsi="Verdana"/>
                <w:b/>
                <w:sz w:val="18"/>
              </w:rPr>
              <w:t>ES 214</w:t>
            </w:r>
          </w:p>
        </w:tc>
        <w:tc>
          <w:tcPr>
            <w:tcW w:w="5450" w:type="dxa"/>
          </w:tcPr>
          <w:p w14:paraId="532F15D8" w14:textId="3D2D261F" w:rsidR="004C65B4" w:rsidRPr="00D01DFF" w:rsidRDefault="004C65B4" w:rsidP="00A61EAA">
            <w:pPr>
              <w:spacing w:before="120" w:after="120"/>
              <w:rPr>
                <w:rFonts w:ascii="Verdana" w:hAnsi="Verdana"/>
                <w:sz w:val="18"/>
              </w:rPr>
            </w:pPr>
            <w:r>
              <w:rPr>
                <w:rFonts w:ascii="Verdana" w:hAnsi="Verdana"/>
                <w:sz w:val="18"/>
              </w:rPr>
              <w:t xml:space="preserve">A data holder’s </w:t>
            </w:r>
            <w:r w:rsidRPr="00A61EAA">
              <w:rPr>
                <w:rFonts w:ascii="Verdana" w:hAnsi="Verdana"/>
                <w:sz w:val="18"/>
              </w:rPr>
              <w:t xml:space="preserve">CDR policy must indicate whether </w:t>
            </w:r>
            <w:r>
              <w:rPr>
                <w:rFonts w:ascii="Verdana" w:hAnsi="Verdana"/>
                <w:sz w:val="18"/>
              </w:rPr>
              <w:t>it</w:t>
            </w:r>
            <w:r w:rsidRPr="00A61EAA">
              <w:rPr>
                <w:rFonts w:ascii="Verdana" w:hAnsi="Verdana"/>
                <w:sz w:val="18"/>
              </w:rPr>
              <w:t xml:space="preserve"> accepts requests for voluntary product or consumer data and, if so, </w:t>
            </w:r>
            <w:r>
              <w:rPr>
                <w:rFonts w:ascii="Verdana" w:hAnsi="Verdana"/>
                <w:sz w:val="18"/>
              </w:rPr>
              <w:t xml:space="preserve">the types of such data that can be requested, </w:t>
            </w:r>
            <w:r w:rsidRPr="00A61EAA">
              <w:rPr>
                <w:rFonts w:ascii="Verdana" w:hAnsi="Verdana"/>
                <w:sz w:val="18"/>
              </w:rPr>
              <w:t>whether it charges a fee for the disclosure of such data and</w:t>
            </w:r>
            <w:r>
              <w:rPr>
                <w:rFonts w:ascii="Verdana" w:hAnsi="Verdana"/>
                <w:sz w:val="18"/>
              </w:rPr>
              <w:t>,</w:t>
            </w:r>
            <w:r w:rsidRPr="00A61EAA">
              <w:rPr>
                <w:rFonts w:ascii="Verdana" w:hAnsi="Verdana"/>
                <w:sz w:val="18"/>
              </w:rPr>
              <w:t xml:space="preserve"> if it does, how information about those fees can be obtained. This is to</w:t>
            </w:r>
            <w:r>
              <w:rPr>
                <w:rFonts w:ascii="Verdana" w:hAnsi="Verdana"/>
                <w:sz w:val="18"/>
              </w:rPr>
              <w:t xml:space="preserve"> assist CDR consumers in knowing what data can be accessed.  It also will help inform </w:t>
            </w:r>
            <w:r w:rsidRPr="00A61EAA">
              <w:rPr>
                <w:rFonts w:ascii="Verdana" w:hAnsi="Verdana"/>
                <w:sz w:val="18"/>
              </w:rPr>
              <w:t xml:space="preserve">accredited data recipients </w:t>
            </w:r>
            <w:r>
              <w:rPr>
                <w:rFonts w:ascii="Verdana" w:hAnsi="Verdana"/>
                <w:sz w:val="18"/>
              </w:rPr>
              <w:t>as to whether they can see a CDR consumer’s consent for t</w:t>
            </w:r>
            <w:r w:rsidRPr="00A61EAA">
              <w:rPr>
                <w:rFonts w:ascii="Verdana" w:hAnsi="Verdana"/>
                <w:sz w:val="18"/>
              </w:rPr>
              <w:t xml:space="preserve">he disclosure of such </w:t>
            </w:r>
            <w:r>
              <w:rPr>
                <w:rFonts w:ascii="Verdana" w:hAnsi="Verdana"/>
                <w:sz w:val="18"/>
              </w:rPr>
              <w:t xml:space="preserve">voluntary </w:t>
            </w:r>
            <w:r w:rsidRPr="00A61EAA">
              <w:rPr>
                <w:rFonts w:ascii="Verdana" w:hAnsi="Verdana"/>
                <w:sz w:val="18"/>
              </w:rPr>
              <w:t>data</w:t>
            </w:r>
            <w:r>
              <w:rPr>
                <w:rFonts w:ascii="Verdana" w:hAnsi="Verdana"/>
                <w:sz w:val="18"/>
              </w:rPr>
              <w:t xml:space="preserve"> and any fees that may be applicable.</w:t>
            </w:r>
          </w:p>
        </w:tc>
        <w:tc>
          <w:tcPr>
            <w:tcW w:w="4467" w:type="dxa"/>
          </w:tcPr>
          <w:p w14:paraId="4AF41150" w14:textId="7A60215B" w:rsidR="004A4C11" w:rsidRDefault="004A4C11" w:rsidP="004A4C11">
            <w:pPr>
              <w:spacing w:before="120" w:after="120"/>
              <w:rPr>
                <w:rFonts w:ascii="Verdana" w:hAnsi="Verdana"/>
                <w:sz w:val="18"/>
              </w:rPr>
            </w:pPr>
            <w:r>
              <w:rPr>
                <w:rFonts w:ascii="Verdana" w:hAnsi="Verdana"/>
                <w:sz w:val="18"/>
              </w:rPr>
              <w:t>See comment</w:t>
            </w:r>
            <w:r>
              <w:rPr>
                <w:rFonts w:ascii="Verdana" w:hAnsi="Verdana"/>
                <w:sz w:val="18"/>
              </w:rPr>
              <w:t>s</w:t>
            </w:r>
            <w:r>
              <w:rPr>
                <w:rFonts w:ascii="Verdana" w:hAnsi="Verdana"/>
                <w:sz w:val="18"/>
              </w:rPr>
              <w:t xml:space="preserve"> for Rule 7.2(</w:t>
            </w:r>
            <w:r>
              <w:rPr>
                <w:rFonts w:ascii="Verdana" w:hAnsi="Verdana"/>
                <w:sz w:val="18"/>
              </w:rPr>
              <w:t>3</w:t>
            </w:r>
            <w:r>
              <w:rPr>
                <w:rFonts w:ascii="Verdana" w:hAnsi="Verdana"/>
                <w:sz w:val="18"/>
              </w:rPr>
              <w:t>)</w:t>
            </w:r>
          </w:p>
          <w:p w14:paraId="5065EC1D" w14:textId="79479A36" w:rsidR="004C65B4" w:rsidRPr="00CD63A3" w:rsidRDefault="004C65B4" w:rsidP="00EF3964">
            <w:pPr>
              <w:spacing w:before="120" w:after="120"/>
              <w:rPr>
                <w:rFonts w:ascii="Verdana" w:hAnsi="Verdana"/>
                <w:sz w:val="18"/>
              </w:rPr>
            </w:pPr>
          </w:p>
        </w:tc>
        <w:tc>
          <w:tcPr>
            <w:tcW w:w="1276" w:type="dxa"/>
            <w:shd w:val="clear" w:color="auto" w:fill="92D050"/>
            <w:vAlign w:val="center"/>
          </w:tcPr>
          <w:p w14:paraId="711FFCE8" w14:textId="16C6B782" w:rsidR="004C65B4" w:rsidRPr="00791489" w:rsidRDefault="004C65B4" w:rsidP="00063590">
            <w:pPr>
              <w:spacing w:before="120" w:after="120"/>
              <w:jc w:val="center"/>
              <w:rPr>
                <w:rFonts w:ascii="Verdana" w:hAnsi="Verdana"/>
                <w:sz w:val="18"/>
              </w:rPr>
            </w:pPr>
            <w:r>
              <w:rPr>
                <w:rFonts w:ascii="Verdana" w:hAnsi="Verdana"/>
                <w:sz w:val="18"/>
              </w:rPr>
              <w:t>Yes</w:t>
            </w:r>
          </w:p>
        </w:tc>
        <w:tc>
          <w:tcPr>
            <w:tcW w:w="1134" w:type="dxa"/>
            <w:shd w:val="clear" w:color="auto" w:fill="FFC000"/>
            <w:vAlign w:val="center"/>
          </w:tcPr>
          <w:p w14:paraId="6E027F2F" w14:textId="4B05AA27" w:rsidR="004C65B4" w:rsidRPr="00791489" w:rsidRDefault="00B45E42" w:rsidP="00366D8F">
            <w:pPr>
              <w:spacing w:before="120" w:after="120"/>
              <w:jc w:val="center"/>
              <w:rPr>
                <w:rFonts w:ascii="Verdana" w:hAnsi="Verdana"/>
                <w:sz w:val="18"/>
              </w:rPr>
            </w:pPr>
            <w:r>
              <w:rPr>
                <w:rFonts w:ascii="Verdana" w:hAnsi="Verdana"/>
                <w:sz w:val="18"/>
              </w:rPr>
              <w:t>Not Fully</w:t>
            </w:r>
          </w:p>
        </w:tc>
      </w:tr>
      <w:tr w:rsidR="004C65B4" w:rsidRPr="00791489" w14:paraId="4BC6D623" w14:textId="3B3DBDE0" w:rsidTr="00B45E42">
        <w:trPr>
          <w:trHeight w:val="860"/>
        </w:trPr>
        <w:tc>
          <w:tcPr>
            <w:tcW w:w="476" w:type="dxa"/>
            <w:tcMar>
              <w:left w:w="57" w:type="dxa"/>
              <w:right w:w="57" w:type="dxa"/>
            </w:tcMar>
            <w:vAlign w:val="center"/>
          </w:tcPr>
          <w:p w14:paraId="7DEF514C" w14:textId="3F5731ED" w:rsidR="004C65B4" w:rsidRDefault="004C65B4" w:rsidP="000E3A33">
            <w:pPr>
              <w:spacing w:before="120" w:after="120"/>
              <w:rPr>
                <w:rFonts w:ascii="Verdana" w:hAnsi="Verdana"/>
                <w:b/>
                <w:sz w:val="18"/>
              </w:rPr>
            </w:pPr>
            <w:r>
              <w:rPr>
                <w:rFonts w:ascii="Verdana" w:hAnsi="Verdana"/>
                <w:b/>
                <w:noProof/>
                <w:sz w:val="18"/>
              </w:rPr>
              <w:lastRenderedPageBreak/>
              <w:drawing>
                <wp:inline distT="0" distB="0" distL="0" distR="0" wp14:anchorId="0F231895" wp14:editId="5072CA8B">
                  <wp:extent cx="213360" cy="213360"/>
                  <wp:effectExtent l="0" t="0" r="0" b="0"/>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4A8AFD87" w14:textId="01F3B83B" w:rsidR="004C65B4" w:rsidRDefault="004C65B4" w:rsidP="000E3A33">
            <w:pPr>
              <w:spacing w:before="120" w:after="120"/>
              <w:rPr>
                <w:rFonts w:ascii="Verdana" w:hAnsi="Verdana"/>
                <w:b/>
                <w:sz w:val="18"/>
              </w:rPr>
            </w:pPr>
            <w:r>
              <w:rPr>
                <w:rFonts w:ascii="Verdana" w:hAnsi="Verdana"/>
                <w:b/>
                <w:sz w:val="18"/>
              </w:rPr>
              <w:t>ES 215</w:t>
            </w:r>
          </w:p>
        </w:tc>
        <w:tc>
          <w:tcPr>
            <w:tcW w:w="5450" w:type="dxa"/>
          </w:tcPr>
          <w:p w14:paraId="512D1183" w14:textId="6B285C98" w:rsidR="004C65B4" w:rsidRPr="00D01DFF" w:rsidRDefault="004C65B4" w:rsidP="00A61EAA">
            <w:pPr>
              <w:spacing w:before="120" w:after="120"/>
              <w:rPr>
                <w:rFonts w:ascii="Verdana" w:hAnsi="Verdana"/>
                <w:sz w:val="18"/>
              </w:rPr>
            </w:pPr>
            <w:r w:rsidRPr="00A61EAA">
              <w:rPr>
                <w:rFonts w:ascii="Verdana" w:hAnsi="Verdana"/>
                <w:sz w:val="18"/>
              </w:rPr>
              <w:t>The CDR policy must also inform consumers of what the consequences will be, if any, if they withdraw their consent during the consent period. This</w:t>
            </w:r>
            <w:r>
              <w:rPr>
                <w:rFonts w:ascii="Verdana" w:hAnsi="Verdana"/>
                <w:sz w:val="18"/>
              </w:rPr>
              <w:t>, for example,</w:t>
            </w:r>
            <w:r w:rsidRPr="00A61EAA">
              <w:rPr>
                <w:rFonts w:ascii="Verdana" w:hAnsi="Verdana"/>
                <w:sz w:val="18"/>
              </w:rPr>
              <w:t xml:space="preserve"> could include information about any early cancellation fees.</w:t>
            </w:r>
          </w:p>
        </w:tc>
        <w:tc>
          <w:tcPr>
            <w:tcW w:w="4467" w:type="dxa"/>
          </w:tcPr>
          <w:p w14:paraId="38A2B35D" w14:textId="4FEAAEFA" w:rsidR="004A4C11" w:rsidRDefault="004A4C11" w:rsidP="004A4C11">
            <w:pPr>
              <w:spacing w:before="120" w:after="120"/>
              <w:rPr>
                <w:rFonts w:ascii="Verdana" w:hAnsi="Verdana"/>
                <w:sz w:val="18"/>
              </w:rPr>
            </w:pPr>
            <w:r>
              <w:rPr>
                <w:rFonts w:ascii="Verdana" w:hAnsi="Verdana"/>
                <w:sz w:val="18"/>
              </w:rPr>
              <w:t>See comment for Rule 7.2(4)(</w:t>
            </w:r>
            <w:r>
              <w:rPr>
                <w:rFonts w:ascii="Verdana" w:hAnsi="Verdana"/>
                <w:sz w:val="18"/>
              </w:rPr>
              <w:t>a</w:t>
            </w:r>
            <w:r>
              <w:rPr>
                <w:rFonts w:ascii="Verdana" w:hAnsi="Verdana"/>
                <w:sz w:val="18"/>
              </w:rPr>
              <w:t>)</w:t>
            </w:r>
          </w:p>
          <w:p w14:paraId="4905B6E4" w14:textId="1F2EE1EA" w:rsidR="004C65B4" w:rsidRDefault="004C65B4" w:rsidP="000E3A33">
            <w:pPr>
              <w:spacing w:before="120" w:after="120"/>
              <w:rPr>
                <w:rFonts w:ascii="Verdana" w:hAnsi="Verdana"/>
                <w:sz w:val="18"/>
              </w:rPr>
            </w:pPr>
          </w:p>
        </w:tc>
        <w:tc>
          <w:tcPr>
            <w:tcW w:w="1276" w:type="dxa"/>
            <w:shd w:val="clear" w:color="auto" w:fill="92D050"/>
            <w:vAlign w:val="center"/>
          </w:tcPr>
          <w:p w14:paraId="7B461CAB" w14:textId="4F8F3CF4" w:rsidR="004C65B4" w:rsidRPr="00791489" w:rsidRDefault="00B45E42" w:rsidP="00063590">
            <w:pPr>
              <w:spacing w:before="120" w:after="120"/>
              <w:jc w:val="center"/>
              <w:rPr>
                <w:rFonts w:ascii="Verdana" w:hAnsi="Verdana"/>
                <w:sz w:val="18"/>
              </w:rPr>
            </w:pPr>
            <w:r>
              <w:rPr>
                <w:rFonts w:ascii="Verdana" w:hAnsi="Verdana"/>
                <w:sz w:val="18"/>
              </w:rPr>
              <w:t>Yes</w:t>
            </w:r>
          </w:p>
        </w:tc>
        <w:tc>
          <w:tcPr>
            <w:tcW w:w="1134" w:type="dxa"/>
            <w:shd w:val="clear" w:color="auto" w:fill="FF5C29"/>
            <w:vAlign w:val="center"/>
          </w:tcPr>
          <w:p w14:paraId="4AAA1556" w14:textId="56AD7F47" w:rsidR="004C65B4" w:rsidRPr="00791489" w:rsidRDefault="00B45E42" w:rsidP="00C06A4B">
            <w:pPr>
              <w:spacing w:before="120" w:after="120"/>
              <w:jc w:val="center"/>
              <w:rPr>
                <w:rFonts w:ascii="Verdana" w:hAnsi="Verdana"/>
                <w:sz w:val="18"/>
              </w:rPr>
            </w:pPr>
            <w:r>
              <w:rPr>
                <w:rFonts w:ascii="Verdana" w:hAnsi="Verdana"/>
                <w:sz w:val="18"/>
              </w:rPr>
              <w:t>Not Yet</w:t>
            </w:r>
          </w:p>
        </w:tc>
      </w:tr>
      <w:tr w:rsidR="004C65B4" w:rsidRPr="00791489" w14:paraId="4288AEF3" w14:textId="1A184BB8" w:rsidTr="00B45E42">
        <w:tc>
          <w:tcPr>
            <w:tcW w:w="476" w:type="dxa"/>
            <w:tcMar>
              <w:left w:w="57" w:type="dxa"/>
              <w:right w:w="57" w:type="dxa"/>
            </w:tcMar>
            <w:vAlign w:val="center"/>
          </w:tcPr>
          <w:p w14:paraId="11031D84" w14:textId="4BEB58F8" w:rsidR="004C65B4" w:rsidRDefault="004C65B4" w:rsidP="000E3A33">
            <w:pPr>
              <w:spacing w:before="120" w:after="120"/>
              <w:rPr>
                <w:rFonts w:ascii="Verdana" w:hAnsi="Verdana"/>
                <w:b/>
                <w:sz w:val="18"/>
              </w:rPr>
            </w:pPr>
            <w:r>
              <w:rPr>
                <w:rFonts w:ascii="Verdana" w:hAnsi="Verdana"/>
                <w:b/>
                <w:noProof/>
                <w:sz w:val="18"/>
              </w:rPr>
              <w:drawing>
                <wp:inline distT="0" distB="0" distL="0" distR="0" wp14:anchorId="1EC0FB43" wp14:editId="6C73F2A8">
                  <wp:extent cx="213360" cy="213360"/>
                  <wp:effectExtent l="0" t="0" r="0" b="0"/>
                  <wp:docPr id="30" name="Picture 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0F73FD54" w14:textId="610ED4B5" w:rsidR="004C65B4" w:rsidRDefault="004C65B4" w:rsidP="000E3A33">
            <w:pPr>
              <w:spacing w:before="120" w:after="120"/>
              <w:rPr>
                <w:rFonts w:ascii="Verdana" w:hAnsi="Verdana"/>
                <w:b/>
                <w:sz w:val="18"/>
              </w:rPr>
            </w:pPr>
            <w:r>
              <w:rPr>
                <w:rFonts w:ascii="Verdana" w:hAnsi="Verdana"/>
                <w:b/>
                <w:sz w:val="18"/>
              </w:rPr>
              <w:t>ES 216</w:t>
            </w:r>
          </w:p>
        </w:tc>
        <w:tc>
          <w:tcPr>
            <w:tcW w:w="5450" w:type="dxa"/>
          </w:tcPr>
          <w:p w14:paraId="6FCA4665" w14:textId="276699AF" w:rsidR="004C65B4" w:rsidRPr="00D01DFF" w:rsidRDefault="004C65B4" w:rsidP="00A61EAA">
            <w:pPr>
              <w:spacing w:before="120" w:after="120"/>
              <w:rPr>
                <w:rFonts w:ascii="Verdana" w:hAnsi="Verdana"/>
                <w:sz w:val="18"/>
              </w:rPr>
            </w:pPr>
            <w:r w:rsidRPr="00A61EAA">
              <w:rPr>
                <w:rFonts w:ascii="Verdana" w:hAnsi="Verdana"/>
                <w:sz w:val="18"/>
              </w:rPr>
              <w:t>The policy must provide a list of outsourced service providers used by the accredited data recipient, the nature of the services they provide</w:t>
            </w:r>
            <w:r>
              <w:rPr>
                <w:rFonts w:ascii="Verdana" w:hAnsi="Verdana"/>
                <w:sz w:val="18"/>
              </w:rPr>
              <w:t>,</w:t>
            </w:r>
            <w:r w:rsidRPr="00A61EAA">
              <w:rPr>
                <w:rFonts w:ascii="Verdana" w:hAnsi="Verdana"/>
                <w:sz w:val="18"/>
              </w:rPr>
              <w:t xml:space="preserve"> and the types of data that may be disclosed to those outsourced service providers. If any of the outsourced service providers are based overseas and are not accredited themselves, the accredited data recipient must include the countries in which those outsourced service providers are based. If an accredited data recipient proposes to disclose CDR data overseas, its CDR policy must specify in which countries it proposes to disclose CDR data.</w:t>
            </w:r>
          </w:p>
        </w:tc>
        <w:tc>
          <w:tcPr>
            <w:tcW w:w="4467" w:type="dxa"/>
          </w:tcPr>
          <w:p w14:paraId="050A256F" w14:textId="77777777" w:rsidR="004C65B4" w:rsidRDefault="004C65B4" w:rsidP="000E3A33">
            <w:pPr>
              <w:spacing w:before="120" w:after="120"/>
              <w:rPr>
                <w:rFonts w:ascii="Verdana" w:hAnsi="Verdana"/>
                <w:sz w:val="18"/>
              </w:rPr>
            </w:pPr>
            <w:r>
              <w:rPr>
                <w:rFonts w:ascii="Verdana" w:hAnsi="Verdana"/>
                <w:sz w:val="18"/>
              </w:rPr>
              <w:t>See comment for Rule 7.2(4)(b) and (c)</w:t>
            </w:r>
          </w:p>
          <w:p w14:paraId="3DFB8A73" w14:textId="298211B8" w:rsidR="004C65B4" w:rsidRDefault="004C65B4" w:rsidP="000E3A33">
            <w:pPr>
              <w:spacing w:before="120" w:after="120"/>
              <w:rPr>
                <w:rFonts w:ascii="Verdana" w:hAnsi="Verdana"/>
                <w:sz w:val="18"/>
              </w:rPr>
            </w:pPr>
          </w:p>
        </w:tc>
        <w:tc>
          <w:tcPr>
            <w:tcW w:w="1276" w:type="dxa"/>
            <w:shd w:val="clear" w:color="auto" w:fill="FFC000"/>
            <w:vAlign w:val="center"/>
          </w:tcPr>
          <w:p w14:paraId="75FB3E0F" w14:textId="0463622B" w:rsidR="004C65B4" w:rsidRPr="00791489" w:rsidRDefault="00B45E42" w:rsidP="00551C50">
            <w:pPr>
              <w:spacing w:before="120" w:after="120"/>
              <w:jc w:val="center"/>
              <w:rPr>
                <w:rFonts w:ascii="Verdana" w:hAnsi="Verdana"/>
                <w:sz w:val="18"/>
              </w:rPr>
            </w:pPr>
            <w:r>
              <w:rPr>
                <w:rFonts w:ascii="Verdana" w:hAnsi="Verdana"/>
                <w:sz w:val="18"/>
              </w:rPr>
              <w:t>Partly</w:t>
            </w:r>
          </w:p>
        </w:tc>
        <w:tc>
          <w:tcPr>
            <w:tcW w:w="1134" w:type="dxa"/>
            <w:shd w:val="clear" w:color="auto" w:fill="FF5C29"/>
            <w:vAlign w:val="center"/>
          </w:tcPr>
          <w:p w14:paraId="311D8F23" w14:textId="2BB91A9A" w:rsidR="004C65B4" w:rsidRPr="00791489" w:rsidRDefault="00B45E42" w:rsidP="00DE5C0F">
            <w:pPr>
              <w:spacing w:before="120" w:after="120"/>
              <w:jc w:val="center"/>
              <w:rPr>
                <w:rFonts w:ascii="Verdana" w:hAnsi="Verdana"/>
                <w:sz w:val="18"/>
              </w:rPr>
            </w:pPr>
            <w:r>
              <w:rPr>
                <w:rFonts w:ascii="Verdana" w:hAnsi="Verdana"/>
                <w:sz w:val="18"/>
              </w:rPr>
              <w:t>Not Yet</w:t>
            </w:r>
          </w:p>
        </w:tc>
      </w:tr>
      <w:tr w:rsidR="004C65B4" w:rsidRPr="00791489" w14:paraId="3614CEF4" w14:textId="468BF0C4" w:rsidTr="00B45E42">
        <w:tc>
          <w:tcPr>
            <w:tcW w:w="476" w:type="dxa"/>
            <w:tcMar>
              <w:left w:w="57" w:type="dxa"/>
              <w:right w:w="57" w:type="dxa"/>
            </w:tcMar>
            <w:vAlign w:val="center"/>
          </w:tcPr>
          <w:p w14:paraId="13FB16A5" w14:textId="4FDBC233" w:rsidR="004C65B4" w:rsidRDefault="004C65B4" w:rsidP="000E3A33">
            <w:pPr>
              <w:spacing w:before="120" w:after="120"/>
              <w:rPr>
                <w:rFonts w:ascii="Verdana" w:hAnsi="Verdana"/>
                <w:b/>
                <w:sz w:val="18"/>
              </w:rPr>
            </w:pPr>
            <w:r>
              <w:rPr>
                <w:rFonts w:ascii="Verdana" w:hAnsi="Verdana"/>
                <w:b/>
                <w:noProof/>
                <w:sz w:val="18"/>
              </w:rPr>
              <w:drawing>
                <wp:inline distT="0" distB="0" distL="0" distR="0" wp14:anchorId="3CB60508" wp14:editId="2DEBC9F7">
                  <wp:extent cx="213360" cy="213360"/>
                  <wp:effectExtent l="0" t="0" r="0" b="0"/>
                  <wp:docPr id="31" name="Picture 3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749A63F5" w14:textId="3F900ACC" w:rsidR="004C65B4" w:rsidRDefault="004C65B4" w:rsidP="000E3A33">
            <w:pPr>
              <w:spacing w:before="120" w:after="120"/>
              <w:rPr>
                <w:rFonts w:ascii="Verdana" w:hAnsi="Verdana"/>
                <w:b/>
                <w:sz w:val="18"/>
              </w:rPr>
            </w:pPr>
            <w:r>
              <w:rPr>
                <w:rFonts w:ascii="Verdana" w:hAnsi="Verdana"/>
                <w:b/>
                <w:sz w:val="18"/>
              </w:rPr>
              <w:t>ES 217</w:t>
            </w:r>
          </w:p>
        </w:tc>
        <w:tc>
          <w:tcPr>
            <w:tcW w:w="5450" w:type="dxa"/>
          </w:tcPr>
          <w:p w14:paraId="61F996C0" w14:textId="4164F82B" w:rsidR="004C65B4" w:rsidRPr="00D01DFF" w:rsidRDefault="004C65B4" w:rsidP="00CF7D16">
            <w:pPr>
              <w:spacing w:before="120" w:after="120"/>
              <w:rPr>
                <w:rFonts w:ascii="Verdana" w:hAnsi="Verdana"/>
                <w:sz w:val="18"/>
              </w:rPr>
            </w:pPr>
            <w:r w:rsidRPr="00CF7D16">
              <w:rPr>
                <w:rFonts w:ascii="Verdana" w:hAnsi="Verdana"/>
                <w:sz w:val="18"/>
              </w:rPr>
              <w:t>The policy is also intended, in addition to the consent process, to give consumers transparency around the de-identification and destruction of CDR data processes.</w:t>
            </w:r>
          </w:p>
        </w:tc>
        <w:tc>
          <w:tcPr>
            <w:tcW w:w="4467" w:type="dxa"/>
          </w:tcPr>
          <w:p w14:paraId="3F19418E" w14:textId="6214FF50" w:rsidR="004C65B4" w:rsidRDefault="004C65B4" w:rsidP="000E3A33">
            <w:pPr>
              <w:spacing w:before="120" w:after="120"/>
              <w:rPr>
                <w:rFonts w:ascii="Verdana" w:hAnsi="Verdana"/>
                <w:sz w:val="18"/>
              </w:rPr>
            </w:pPr>
            <w:r>
              <w:rPr>
                <w:rFonts w:ascii="Verdana" w:hAnsi="Verdana"/>
                <w:sz w:val="18"/>
              </w:rPr>
              <w:t>See comment for Rule 7.2(4)(e)</w:t>
            </w:r>
            <w:r w:rsidR="00B45E42">
              <w:rPr>
                <w:rFonts w:ascii="Verdana" w:hAnsi="Verdana"/>
                <w:sz w:val="18"/>
              </w:rPr>
              <w:t>,(f) and (g)</w:t>
            </w:r>
          </w:p>
        </w:tc>
        <w:tc>
          <w:tcPr>
            <w:tcW w:w="1276" w:type="dxa"/>
            <w:shd w:val="clear" w:color="auto" w:fill="auto"/>
            <w:vAlign w:val="center"/>
          </w:tcPr>
          <w:p w14:paraId="46F4BD73" w14:textId="551D558A" w:rsidR="004C65B4" w:rsidRPr="00791489" w:rsidRDefault="004C65B4" w:rsidP="00551C50">
            <w:pPr>
              <w:spacing w:before="120" w:after="120"/>
              <w:jc w:val="center"/>
              <w:rPr>
                <w:rFonts w:ascii="Verdana" w:hAnsi="Verdana"/>
                <w:sz w:val="18"/>
              </w:rPr>
            </w:pPr>
          </w:p>
        </w:tc>
        <w:tc>
          <w:tcPr>
            <w:tcW w:w="1134" w:type="dxa"/>
            <w:shd w:val="clear" w:color="auto" w:fill="auto"/>
            <w:vAlign w:val="center"/>
          </w:tcPr>
          <w:p w14:paraId="01A059FC" w14:textId="24366069" w:rsidR="004C65B4" w:rsidRPr="00791489" w:rsidRDefault="004C65B4" w:rsidP="00C35EF3">
            <w:pPr>
              <w:spacing w:before="120" w:after="120"/>
              <w:jc w:val="center"/>
              <w:rPr>
                <w:rFonts w:ascii="Verdana" w:hAnsi="Verdana"/>
                <w:sz w:val="18"/>
              </w:rPr>
            </w:pPr>
          </w:p>
        </w:tc>
      </w:tr>
      <w:tr w:rsidR="004C65B4" w:rsidRPr="00791489" w14:paraId="4C842ED5" w14:textId="3185F399" w:rsidTr="004C65B4">
        <w:tc>
          <w:tcPr>
            <w:tcW w:w="476" w:type="dxa"/>
            <w:tcMar>
              <w:left w:w="57" w:type="dxa"/>
              <w:right w:w="57" w:type="dxa"/>
            </w:tcMar>
            <w:vAlign w:val="center"/>
          </w:tcPr>
          <w:p w14:paraId="7E73E2FB" w14:textId="4427BAA1" w:rsidR="004C65B4" w:rsidRDefault="004C65B4" w:rsidP="00CF7D16">
            <w:pPr>
              <w:spacing w:before="120" w:after="120"/>
              <w:rPr>
                <w:rFonts w:ascii="Verdana" w:hAnsi="Verdana"/>
                <w:b/>
                <w:sz w:val="18"/>
              </w:rPr>
            </w:pPr>
            <w:r>
              <w:rPr>
                <w:rFonts w:ascii="Verdana" w:hAnsi="Verdana"/>
                <w:b/>
                <w:noProof/>
                <w:sz w:val="18"/>
              </w:rPr>
              <w:drawing>
                <wp:inline distT="0" distB="0" distL="0" distR="0" wp14:anchorId="432F9C70" wp14:editId="14914863">
                  <wp:extent cx="213360" cy="213360"/>
                  <wp:effectExtent l="0" t="0" r="0" b="0"/>
                  <wp:docPr id="27" name="Picture 2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7F056EF4" w14:textId="22A065F3" w:rsidR="004C65B4" w:rsidRDefault="004C65B4" w:rsidP="00CF7D16">
            <w:pPr>
              <w:spacing w:before="120" w:after="120"/>
              <w:rPr>
                <w:rFonts w:ascii="Verdana" w:hAnsi="Verdana"/>
                <w:b/>
                <w:sz w:val="18"/>
              </w:rPr>
            </w:pPr>
            <w:r>
              <w:rPr>
                <w:rFonts w:ascii="Verdana" w:hAnsi="Verdana"/>
                <w:b/>
                <w:sz w:val="18"/>
              </w:rPr>
              <w:t>ES 218</w:t>
            </w:r>
          </w:p>
        </w:tc>
        <w:tc>
          <w:tcPr>
            <w:tcW w:w="12327" w:type="dxa"/>
            <w:gridSpan w:val="4"/>
          </w:tcPr>
          <w:p w14:paraId="7ADF1097" w14:textId="25520C49" w:rsidR="004C65B4" w:rsidRPr="00791489" w:rsidRDefault="004C65B4" w:rsidP="00A874F7">
            <w:pPr>
              <w:spacing w:before="120" w:after="120"/>
              <w:rPr>
                <w:rFonts w:ascii="Verdana" w:hAnsi="Verdana"/>
                <w:sz w:val="18"/>
              </w:rPr>
            </w:pPr>
            <w:r w:rsidRPr="000D6F2F">
              <w:rPr>
                <w:rFonts w:ascii="Verdana" w:hAnsi="Verdana"/>
                <w:sz w:val="18"/>
              </w:rPr>
              <w:t>For de-identification that occurs as a use of CDR data that is consented to in order to disclose (by sale or otherwise) de-identified CDR data, accredited data recipients must includ</w:t>
            </w:r>
            <w:r w:rsidR="00B45E42">
              <w:rPr>
                <w:rFonts w:ascii="Verdana" w:hAnsi="Verdana"/>
                <w:sz w:val="18"/>
              </w:rPr>
              <w:t>e</w:t>
            </w:r>
            <w:r w:rsidRPr="000D6F2F">
              <w:rPr>
                <w:rFonts w:ascii="Verdana" w:hAnsi="Verdana"/>
                <w:sz w:val="18"/>
              </w:rPr>
              <w:t xml:space="preserve"> information about:</w:t>
            </w:r>
          </w:p>
        </w:tc>
      </w:tr>
      <w:tr w:rsidR="004C65B4" w:rsidRPr="00791489" w14:paraId="707B0453" w14:textId="5278D976" w:rsidTr="00B45E42">
        <w:tc>
          <w:tcPr>
            <w:tcW w:w="476" w:type="dxa"/>
            <w:tcMar>
              <w:left w:w="57" w:type="dxa"/>
              <w:right w:w="57" w:type="dxa"/>
            </w:tcMar>
            <w:vAlign w:val="center"/>
          </w:tcPr>
          <w:p w14:paraId="73A90DE3" w14:textId="4B4EE488" w:rsidR="004C65B4" w:rsidRPr="000D6F2F" w:rsidRDefault="004C65B4" w:rsidP="000D6F2F">
            <w:pPr>
              <w:spacing w:before="120" w:after="120"/>
              <w:jc w:val="right"/>
              <w:rPr>
                <w:rFonts w:ascii="Verdana" w:hAnsi="Verdana"/>
                <w:sz w:val="18"/>
              </w:rPr>
            </w:pPr>
          </w:p>
        </w:tc>
        <w:tc>
          <w:tcPr>
            <w:tcW w:w="1651" w:type="dxa"/>
          </w:tcPr>
          <w:p w14:paraId="679F9BBD" w14:textId="3ED7B0DE" w:rsidR="004C65B4" w:rsidRPr="000D6F2F" w:rsidRDefault="004C65B4" w:rsidP="000D6F2F">
            <w:pPr>
              <w:spacing w:before="120" w:after="120"/>
              <w:jc w:val="right"/>
              <w:rPr>
                <w:rFonts w:ascii="Verdana" w:hAnsi="Verdana"/>
                <w:sz w:val="18"/>
              </w:rPr>
            </w:pPr>
            <w:r w:rsidRPr="000D6F2F">
              <w:rPr>
                <w:rFonts w:ascii="Verdana" w:hAnsi="Verdana"/>
                <w:sz w:val="18"/>
              </w:rPr>
              <w:t>(a)</w:t>
            </w:r>
          </w:p>
        </w:tc>
        <w:tc>
          <w:tcPr>
            <w:tcW w:w="5450" w:type="dxa"/>
          </w:tcPr>
          <w:p w14:paraId="712698CB" w14:textId="6B232E83" w:rsidR="004C65B4" w:rsidRPr="000D6F2F" w:rsidRDefault="004C65B4" w:rsidP="000D6F2F">
            <w:pPr>
              <w:spacing w:before="120" w:after="120"/>
              <w:rPr>
                <w:rFonts w:ascii="Verdana" w:hAnsi="Verdana"/>
                <w:sz w:val="18"/>
              </w:rPr>
            </w:pPr>
            <w:r w:rsidRPr="000D6F2F">
              <w:rPr>
                <w:rFonts w:ascii="Verdana" w:hAnsi="Verdana"/>
                <w:sz w:val="18"/>
              </w:rPr>
              <w:t>how the accredited person uses CDR data that has been de-identified in accordance with the CDR data de-identification process to provide goods or services to CDR consumers</w:t>
            </w:r>
            <w:r>
              <w:rPr>
                <w:rFonts w:ascii="Verdana" w:hAnsi="Verdana"/>
                <w:sz w:val="18"/>
              </w:rPr>
              <w:t>; and</w:t>
            </w:r>
          </w:p>
        </w:tc>
        <w:tc>
          <w:tcPr>
            <w:tcW w:w="4467" w:type="dxa"/>
          </w:tcPr>
          <w:p w14:paraId="50F97F75" w14:textId="77777777" w:rsidR="004C65B4" w:rsidRDefault="004C65B4" w:rsidP="00CF7D16">
            <w:pPr>
              <w:spacing w:before="120" w:after="120"/>
              <w:rPr>
                <w:rFonts w:ascii="Verdana" w:hAnsi="Verdana"/>
                <w:sz w:val="18"/>
              </w:rPr>
            </w:pPr>
            <w:r>
              <w:rPr>
                <w:rFonts w:ascii="Verdana" w:hAnsi="Verdana"/>
                <w:sz w:val="18"/>
              </w:rPr>
              <w:t>See comment for Rule 7.2(4)(e)</w:t>
            </w:r>
          </w:p>
          <w:p w14:paraId="70C09C9A" w14:textId="57AE0FE1" w:rsidR="004C65B4" w:rsidRDefault="004C65B4" w:rsidP="00CF7D16">
            <w:pPr>
              <w:spacing w:before="120" w:after="120"/>
              <w:rPr>
                <w:rFonts w:ascii="Verdana" w:hAnsi="Verdana"/>
                <w:sz w:val="18"/>
              </w:rPr>
            </w:pPr>
          </w:p>
        </w:tc>
        <w:tc>
          <w:tcPr>
            <w:tcW w:w="1276" w:type="dxa"/>
            <w:shd w:val="clear" w:color="auto" w:fill="auto"/>
            <w:vAlign w:val="center"/>
          </w:tcPr>
          <w:p w14:paraId="2844BFB3" w14:textId="59690AB7" w:rsidR="004C65B4" w:rsidRPr="00791489" w:rsidRDefault="004C65B4" w:rsidP="00063590">
            <w:pPr>
              <w:spacing w:before="120" w:after="120"/>
              <w:jc w:val="center"/>
              <w:rPr>
                <w:rFonts w:ascii="Verdana" w:hAnsi="Verdana"/>
                <w:sz w:val="18"/>
              </w:rPr>
            </w:pPr>
          </w:p>
        </w:tc>
        <w:tc>
          <w:tcPr>
            <w:tcW w:w="1134" w:type="dxa"/>
            <w:shd w:val="clear" w:color="auto" w:fill="auto"/>
            <w:vAlign w:val="center"/>
          </w:tcPr>
          <w:p w14:paraId="013B5877" w14:textId="049814F7" w:rsidR="004C65B4" w:rsidRPr="00791489" w:rsidRDefault="004C65B4" w:rsidP="004B5E19">
            <w:pPr>
              <w:spacing w:before="120" w:after="120"/>
              <w:jc w:val="center"/>
              <w:rPr>
                <w:rFonts w:ascii="Verdana" w:hAnsi="Verdana"/>
                <w:sz w:val="18"/>
              </w:rPr>
            </w:pPr>
          </w:p>
        </w:tc>
      </w:tr>
      <w:tr w:rsidR="004C65B4" w:rsidRPr="00791489" w14:paraId="41557A13" w14:textId="0EDC9569" w:rsidTr="00B45E42">
        <w:tc>
          <w:tcPr>
            <w:tcW w:w="476" w:type="dxa"/>
            <w:tcMar>
              <w:left w:w="57" w:type="dxa"/>
              <w:right w:w="57" w:type="dxa"/>
            </w:tcMar>
            <w:vAlign w:val="center"/>
          </w:tcPr>
          <w:p w14:paraId="4352E70B" w14:textId="77777777" w:rsidR="004C65B4" w:rsidRPr="000D6F2F" w:rsidRDefault="004C65B4" w:rsidP="00D836A7">
            <w:pPr>
              <w:spacing w:before="120" w:after="120"/>
              <w:jc w:val="right"/>
              <w:rPr>
                <w:rFonts w:ascii="Verdana" w:hAnsi="Verdana"/>
                <w:sz w:val="18"/>
              </w:rPr>
            </w:pPr>
          </w:p>
        </w:tc>
        <w:tc>
          <w:tcPr>
            <w:tcW w:w="1651" w:type="dxa"/>
          </w:tcPr>
          <w:p w14:paraId="241FEE76" w14:textId="3786A41E" w:rsidR="004C65B4" w:rsidRPr="000D6F2F" w:rsidRDefault="004C65B4" w:rsidP="00D836A7">
            <w:pPr>
              <w:spacing w:before="120" w:after="120"/>
              <w:jc w:val="right"/>
              <w:rPr>
                <w:rFonts w:ascii="Verdana" w:hAnsi="Verdana"/>
                <w:sz w:val="18"/>
              </w:rPr>
            </w:pPr>
            <w:r w:rsidRPr="000D6F2F">
              <w:rPr>
                <w:rFonts w:ascii="Verdana" w:hAnsi="Verdana"/>
                <w:sz w:val="18"/>
              </w:rPr>
              <w:t>(</w:t>
            </w:r>
            <w:r>
              <w:rPr>
                <w:rFonts w:ascii="Verdana" w:hAnsi="Verdana"/>
                <w:sz w:val="18"/>
              </w:rPr>
              <w:t>b</w:t>
            </w:r>
            <w:r w:rsidRPr="000D6F2F">
              <w:rPr>
                <w:rFonts w:ascii="Verdana" w:hAnsi="Verdana"/>
                <w:sz w:val="18"/>
              </w:rPr>
              <w:t>)</w:t>
            </w:r>
          </w:p>
        </w:tc>
        <w:tc>
          <w:tcPr>
            <w:tcW w:w="5450" w:type="dxa"/>
          </w:tcPr>
          <w:p w14:paraId="780BF1D1" w14:textId="0ACA4408" w:rsidR="004C65B4" w:rsidRPr="00C33D23" w:rsidRDefault="004C65B4" w:rsidP="00D836A7">
            <w:pPr>
              <w:spacing w:before="120" w:after="120"/>
              <w:rPr>
                <w:rFonts w:ascii="Verdana" w:hAnsi="Verdana"/>
                <w:sz w:val="18"/>
              </w:rPr>
            </w:pPr>
            <w:r w:rsidRPr="001647C2">
              <w:rPr>
                <w:rFonts w:ascii="Verdana" w:hAnsi="Verdana"/>
                <w:sz w:val="18"/>
              </w:rPr>
              <w:t>The</w:t>
            </w:r>
            <w:r>
              <w:rPr>
                <w:rFonts w:ascii="Verdana" w:hAnsi="Verdana"/>
                <w:sz w:val="18"/>
              </w:rPr>
              <w:t xml:space="preserve"> further</w:t>
            </w:r>
            <w:r w:rsidRPr="001647C2">
              <w:rPr>
                <w:rFonts w:ascii="Verdana" w:hAnsi="Verdana"/>
                <w:sz w:val="18"/>
              </w:rPr>
              <w:t xml:space="preserve"> information specified in paragraph </w:t>
            </w:r>
            <w:r>
              <w:rPr>
                <w:rFonts w:ascii="Verdana" w:hAnsi="Verdana"/>
                <w:sz w:val="18"/>
              </w:rPr>
              <w:t>221 below.</w:t>
            </w:r>
          </w:p>
        </w:tc>
        <w:tc>
          <w:tcPr>
            <w:tcW w:w="4467" w:type="dxa"/>
          </w:tcPr>
          <w:p w14:paraId="7D48CDAB" w14:textId="353E2BC8" w:rsidR="004C65B4" w:rsidRDefault="00B45E42" w:rsidP="00D836A7">
            <w:pPr>
              <w:spacing w:before="120" w:after="120"/>
              <w:rPr>
                <w:rFonts w:ascii="Verdana" w:hAnsi="Verdana"/>
                <w:sz w:val="18"/>
              </w:rPr>
            </w:pPr>
            <w:r>
              <w:rPr>
                <w:rFonts w:ascii="Verdana" w:hAnsi="Verdana"/>
                <w:sz w:val="18"/>
              </w:rPr>
              <w:t>This is about de-identification</w:t>
            </w:r>
          </w:p>
        </w:tc>
        <w:tc>
          <w:tcPr>
            <w:tcW w:w="1276" w:type="dxa"/>
            <w:shd w:val="clear" w:color="auto" w:fill="auto"/>
            <w:vAlign w:val="center"/>
          </w:tcPr>
          <w:p w14:paraId="6D0704F1" w14:textId="2B3289DB" w:rsidR="004C65B4" w:rsidRPr="00791489" w:rsidRDefault="004C65B4" w:rsidP="00063590">
            <w:pPr>
              <w:spacing w:before="120" w:after="120"/>
              <w:jc w:val="center"/>
              <w:rPr>
                <w:rFonts w:ascii="Verdana" w:hAnsi="Verdana"/>
                <w:sz w:val="18"/>
              </w:rPr>
            </w:pPr>
          </w:p>
        </w:tc>
        <w:tc>
          <w:tcPr>
            <w:tcW w:w="1134" w:type="dxa"/>
            <w:shd w:val="clear" w:color="auto" w:fill="auto"/>
            <w:vAlign w:val="center"/>
          </w:tcPr>
          <w:p w14:paraId="3F5C8AED" w14:textId="2DCCF728" w:rsidR="004C65B4" w:rsidRPr="00791489" w:rsidRDefault="004C65B4" w:rsidP="0056453C">
            <w:pPr>
              <w:spacing w:before="120" w:after="120"/>
              <w:jc w:val="center"/>
              <w:rPr>
                <w:rFonts w:ascii="Verdana" w:hAnsi="Verdana"/>
                <w:sz w:val="18"/>
              </w:rPr>
            </w:pPr>
          </w:p>
        </w:tc>
      </w:tr>
      <w:tr w:rsidR="00472659" w:rsidRPr="00791489" w14:paraId="3B848D5A" w14:textId="105D774C" w:rsidTr="00472659">
        <w:tc>
          <w:tcPr>
            <w:tcW w:w="476" w:type="dxa"/>
            <w:tcMar>
              <w:left w:w="57" w:type="dxa"/>
              <w:right w:w="57" w:type="dxa"/>
            </w:tcMar>
            <w:vAlign w:val="center"/>
          </w:tcPr>
          <w:p w14:paraId="7FD38693" w14:textId="2CA20954" w:rsidR="00472659" w:rsidRDefault="00472659" w:rsidP="00C33D23">
            <w:pPr>
              <w:spacing w:before="120" w:after="120"/>
              <w:rPr>
                <w:rFonts w:ascii="Verdana" w:hAnsi="Verdana"/>
                <w:b/>
                <w:sz w:val="18"/>
              </w:rPr>
            </w:pPr>
            <w:r>
              <w:rPr>
                <w:rFonts w:ascii="Verdana" w:hAnsi="Verdana"/>
                <w:b/>
                <w:noProof/>
                <w:sz w:val="18"/>
              </w:rPr>
              <w:drawing>
                <wp:inline distT="0" distB="0" distL="0" distR="0" wp14:anchorId="5F4C9FC6" wp14:editId="199A5AFB">
                  <wp:extent cx="213360" cy="213360"/>
                  <wp:effectExtent l="0" t="0" r="0" b="0"/>
                  <wp:docPr id="578491904" name="Picture 57849190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230BEF81" w14:textId="5E766A29" w:rsidR="00472659" w:rsidRPr="000D6F2F" w:rsidRDefault="00472659" w:rsidP="00C33D23">
            <w:pPr>
              <w:spacing w:before="120" w:after="120"/>
              <w:rPr>
                <w:rFonts w:ascii="Verdana" w:hAnsi="Verdana"/>
                <w:sz w:val="18"/>
              </w:rPr>
            </w:pPr>
            <w:r>
              <w:rPr>
                <w:rFonts w:ascii="Verdana" w:hAnsi="Verdana"/>
                <w:b/>
                <w:sz w:val="18"/>
              </w:rPr>
              <w:t>ES 219</w:t>
            </w:r>
          </w:p>
        </w:tc>
        <w:tc>
          <w:tcPr>
            <w:tcW w:w="12327" w:type="dxa"/>
            <w:gridSpan w:val="4"/>
          </w:tcPr>
          <w:p w14:paraId="6CB66976" w14:textId="6AE72FA0" w:rsidR="00472659" w:rsidRPr="00791489" w:rsidRDefault="00472659" w:rsidP="00472659">
            <w:pPr>
              <w:spacing w:before="120" w:after="120"/>
              <w:rPr>
                <w:rFonts w:ascii="Verdana" w:hAnsi="Verdana"/>
                <w:sz w:val="18"/>
              </w:rPr>
            </w:pPr>
            <w:r w:rsidRPr="00186039">
              <w:rPr>
                <w:rFonts w:ascii="Verdana" w:hAnsi="Verdana"/>
                <w:sz w:val="18"/>
              </w:rPr>
              <w:t>For the treatment of redundant data, the policy must include information on:</w:t>
            </w:r>
          </w:p>
        </w:tc>
      </w:tr>
      <w:tr w:rsidR="004C65B4" w:rsidRPr="00791489" w14:paraId="4B849174" w14:textId="1B078509" w:rsidTr="003B29A0">
        <w:trPr>
          <w:trHeight w:val="1861"/>
        </w:trPr>
        <w:tc>
          <w:tcPr>
            <w:tcW w:w="476" w:type="dxa"/>
            <w:tcMar>
              <w:left w:w="57" w:type="dxa"/>
              <w:right w:w="57" w:type="dxa"/>
            </w:tcMar>
            <w:vAlign w:val="center"/>
          </w:tcPr>
          <w:p w14:paraId="2AA7AFF5" w14:textId="77777777" w:rsidR="004C65B4" w:rsidRPr="000D6F2F" w:rsidRDefault="004C65B4" w:rsidP="00134DAF">
            <w:pPr>
              <w:spacing w:before="120" w:after="120"/>
              <w:jc w:val="right"/>
              <w:rPr>
                <w:rFonts w:ascii="Verdana" w:hAnsi="Verdana"/>
                <w:sz w:val="18"/>
              </w:rPr>
            </w:pPr>
          </w:p>
        </w:tc>
        <w:tc>
          <w:tcPr>
            <w:tcW w:w="1651" w:type="dxa"/>
          </w:tcPr>
          <w:p w14:paraId="3086CF92" w14:textId="70DEB3E1" w:rsidR="004C65B4" w:rsidRDefault="004C65B4" w:rsidP="00134DAF">
            <w:pPr>
              <w:spacing w:before="120" w:after="120"/>
              <w:jc w:val="right"/>
              <w:rPr>
                <w:rFonts w:ascii="Verdana" w:hAnsi="Verdana"/>
                <w:b/>
                <w:sz w:val="18"/>
              </w:rPr>
            </w:pPr>
            <w:r w:rsidRPr="000D6F2F">
              <w:rPr>
                <w:rFonts w:ascii="Verdana" w:hAnsi="Verdana"/>
                <w:sz w:val="18"/>
              </w:rPr>
              <w:t>(a)</w:t>
            </w:r>
          </w:p>
        </w:tc>
        <w:tc>
          <w:tcPr>
            <w:tcW w:w="5450" w:type="dxa"/>
          </w:tcPr>
          <w:p w14:paraId="05B0E10E" w14:textId="77777777" w:rsidR="004C65B4" w:rsidRPr="00134DAF" w:rsidRDefault="004C65B4" w:rsidP="00C33D23">
            <w:pPr>
              <w:tabs>
                <w:tab w:val="left" w:pos="413"/>
              </w:tabs>
              <w:spacing w:before="120" w:after="120"/>
              <w:rPr>
                <w:rFonts w:ascii="Verdana" w:hAnsi="Verdana"/>
                <w:sz w:val="18"/>
              </w:rPr>
            </w:pPr>
            <w:r w:rsidRPr="00134DAF">
              <w:rPr>
                <w:rFonts w:ascii="Verdana" w:hAnsi="Verdana"/>
                <w:sz w:val="18"/>
              </w:rPr>
              <w:t>the following information about deletion of redundant data:</w:t>
            </w:r>
          </w:p>
          <w:p w14:paraId="33436E07" w14:textId="2F3C74B5" w:rsidR="004C65B4" w:rsidRPr="00C33D23" w:rsidRDefault="004C65B4" w:rsidP="00C33D23">
            <w:pPr>
              <w:pStyle w:val="ListParagraph"/>
              <w:numPr>
                <w:ilvl w:val="0"/>
                <w:numId w:val="44"/>
              </w:numPr>
              <w:spacing w:before="120" w:after="120"/>
              <w:rPr>
                <w:rFonts w:ascii="Verdana" w:eastAsiaTheme="minorHAnsi" w:hAnsi="Verdana" w:cstheme="minorBidi"/>
                <w:sz w:val="18"/>
                <w:lang w:val="en-AU"/>
              </w:rPr>
            </w:pPr>
            <w:r w:rsidRPr="00134DAF">
              <w:rPr>
                <w:rFonts w:ascii="Verdana" w:hAnsi="Verdana"/>
                <w:sz w:val="18"/>
              </w:rPr>
              <w:t xml:space="preserve">when </w:t>
            </w:r>
            <w:r w:rsidRPr="00C33D23">
              <w:rPr>
                <w:rFonts w:ascii="Verdana" w:eastAsiaTheme="minorHAnsi" w:hAnsi="Verdana" w:cstheme="minorBidi"/>
                <w:sz w:val="18"/>
                <w:lang w:val="en-AU"/>
              </w:rPr>
              <w:t>the accredited data recipient deletes redundant data</w:t>
            </w:r>
          </w:p>
          <w:p w14:paraId="3509E586" w14:textId="4486FEA3" w:rsidR="004C65B4" w:rsidRPr="00C33D23" w:rsidRDefault="004C65B4" w:rsidP="00C33D23">
            <w:pPr>
              <w:pStyle w:val="ListParagraph"/>
              <w:numPr>
                <w:ilvl w:val="0"/>
                <w:numId w:val="44"/>
              </w:numPr>
              <w:spacing w:before="120" w:after="120"/>
              <w:rPr>
                <w:rFonts w:ascii="Verdana" w:eastAsiaTheme="minorHAnsi" w:hAnsi="Verdana" w:cstheme="minorBidi"/>
                <w:sz w:val="18"/>
                <w:lang w:val="en-AU"/>
              </w:rPr>
            </w:pPr>
            <w:r w:rsidRPr="00C33D23">
              <w:rPr>
                <w:rFonts w:ascii="Verdana" w:eastAsiaTheme="minorHAnsi" w:hAnsi="Verdana" w:cstheme="minorBidi"/>
                <w:sz w:val="18"/>
                <w:lang w:val="en-AU"/>
              </w:rPr>
              <w:t>how a CDR consumer may elect for this to happen</w:t>
            </w:r>
          </w:p>
          <w:p w14:paraId="4E335847" w14:textId="4BE5A95A" w:rsidR="004C65B4" w:rsidRPr="003B29A0" w:rsidRDefault="004C65B4" w:rsidP="003B29A0">
            <w:pPr>
              <w:pStyle w:val="ListParagraph"/>
              <w:numPr>
                <w:ilvl w:val="0"/>
                <w:numId w:val="44"/>
              </w:numPr>
              <w:spacing w:before="120" w:after="120"/>
              <w:rPr>
                <w:rFonts w:ascii="Verdana" w:eastAsiaTheme="minorHAnsi" w:hAnsi="Verdana" w:cstheme="minorBidi"/>
                <w:sz w:val="18"/>
                <w:lang w:val="en-AU"/>
              </w:rPr>
            </w:pPr>
            <w:r w:rsidRPr="00C33D23">
              <w:rPr>
                <w:rFonts w:ascii="Verdana" w:eastAsiaTheme="minorHAnsi" w:hAnsi="Verdana" w:cstheme="minorBidi"/>
                <w:sz w:val="18"/>
                <w:lang w:val="en-AU"/>
              </w:rPr>
              <w:t>how the redundant data is deleted; and</w:t>
            </w:r>
          </w:p>
          <w:p w14:paraId="3ED5DF44" w14:textId="2D130854" w:rsidR="004C65B4" w:rsidRPr="00186039" w:rsidRDefault="004C65B4" w:rsidP="00C33D23">
            <w:pPr>
              <w:tabs>
                <w:tab w:val="left" w:pos="413"/>
              </w:tabs>
              <w:spacing w:before="120" w:after="120"/>
              <w:rPr>
                <w:rFonts w:ascii="Verdana" w:hAnsi="Verdana"/>
                <w:sz w:val="18"/>
              </w:rPr>
            </w:pPr>
          </w:p>
        </w:tc>
        <w:tc>
          <w:tcPr>
            <w:tcW w:w="4467" w:type="dxa"/>
          </w:tcPr>
          <w:p w14:paraId="2DE31BA1" w14:textId="20744F8A" w:rsidR="004C65B4" w:rsidRPr="006949EC" w:rsidRDefault="00472659" w:rsidP="003B29A0">
            <w:pPr>
              <w:spacing w:before="120" w:after="120"/>
              <w:rPr>
                <w:rFonts w:ascii="Verdana" w:hAnsi="Verdana"/>
                <w:iCs/>
                <w:sz w:val="18"/>
              </w:rPr>
            </w:pPr>
            <w:r>
              <w:rPr>
                <w:rFonts w:ascii="Verdana" w:hAnsi="Verdana"/>
                <w:iCs/>
                <w:sz w:val="18"/>
              </w:rPr>
              <w:t xml:space="preserve">See comment </w:t>
            </w:r>
            <w:r>
              <w:rPr>
                <w:rFonts w:ascii="Verdana" w:hAnsi="Verdana"/>
                <w:sz w:val="18"/>
              </w:rPr>
              <w:t xml:space="preserve">for Rule 7.2(4)(e) </w:t>
            </w:r>
          </w:p>
        </w:tc>
        <w:tc>
          <w:tcPr>
            <w:tcW w:w="1276" w:type="dxa"/>
            <w:shd w:val="clear" w:color="auto" w:fill="auto"/>
            <w:vAlign w:val="center"/>
          </w:tcPr>
          <w:p w14:paraId="7CA7C6DA" w14:textId="777F0064" w:rsidR="004C65B4" w:rsidRPr="00791489" w:rsidRDefault="004C65B4" w:rsidP="00063590">
            <w:pPr>
              <w:spacing w:before="120" w:after="120"/>
              <w:jc w:val="center"/>
              <w:rPr>
                <w:rFonts w:ascii="Verdana" w:hAnsi="Verdana"/>
                <w:sz w:val="18"/>
              </w:rPr>
            </w:pPr>
          </w:p>
        </w:tc>
        <w:tc>
          <w:tcPr>
            <w:tcW w:w="1134" w:type="dxa"/>
            <w:shd w:val="clear" w:color="auto" w:fill="auto"/>
            <w:vAlign w:val="center"/>
          </w:tcPr>
          <w:p w14:paraId="0A877B92" w14:textId="79BD8AB3" w:rsidR="004C65B4" w:rsidRPr="00791489" w:rsidRDefault="004C65B4" w:rsidP="00900B74">
            <w:pPr>
              <w:spacing w:before="120" w:after="120"/>
              <w:jc w:val="center"/>
              <w:rPr>
                <w:rFonts w:ascii="Verdana" w:hAnsi="Verdana"/>
                <w:sz w:val="18"/>
              </w:rPr>
            </w:pPr>
          </w:p>
        </w:tc>
      </w:tr>
      <w:tr w:rsidR="004C65B4" w:rsidRPr="00791489" w14:paraId="4E9674BC" w14:textId="2520F909" w:rsidTr="00B45E42">
        <w:trPr>
          <w:trHeight w:val="1574"/>
        </w:trPr>
        <w:tc>
          <w:tcPr>
            <w:tcW w:w="476" w:type="dxa"/>
            <w:tcMar>
              <w:left w:w="57" w:type="dxa"/>
              <w:right w:w="57" w:type="dxa"/>
            </w:tcMar>
            <w:vAlign w:val="center"/>
          </w:tcPr>
          <w:p w14:paraId="2F508AD6" w14:textId="77777777" w:rsidR="004C65B4" w:rsidRPr="000D6F2F" w:rsidRDefault="004C65B4" w:rsidP="00C33D23">
            <w:pPr>
              <w:spacing w:before="120" w:after="120"/>
              <w:jc w:val="right"/>
              <w:rPr>
                <w:rFonts w:ascii="Verdana" w:hAnsi="Verdana"/>
                <w:sz w:val="18"/>
              </w:rPr>
            </w:pPr>
          </w:p>
        </w:tc>
        <w:tc>
          <w:tcPr>
            <w:tcW w:w="1651" w:type="dxa"/>
          </w:tcPr>
          <w:p w14:paraId="427D61E8" w14:textId="7E160F29" w:rsidR="004C65B4" w:rsidRDefault="004C65B4" w:rsidP="00C33D23">
            <w:pPr>
              <w:spacing w:before="120" w:after="120"/>
              <w:jc w:val="right"/>
              <w:rPr>
                <w:rFonts w:ascii="Verdana" w:hAnsi="Verdana"/>
                <w:b/>
                <w:sz w:val="18"/>
              </w:rPr>
            </w:pPr>
            <w:r w:rsidRPr="000D6F2F">
              <w:rPr>
                <w:rFonts w:ascii="Verdana" w:hAnsi="Verdana"/>
                <w:sz w:val="18"/>
              </w:rPr>
              <w:t>(</w:t>
            </w:r>
            <w:r>
              <w:rPr>
                <w:rFonts w:ascii="Verdana" w:hAnsi="Verdana"/>
                <w:sz w:val="18"/>
              </w:rPr>
              <w:t>b</w:t>
            </w:r>
            <w:r w:rsidRPr="000D6F2F">
              <w:rPr>
                <w:rFonts w:ascii="Verdana" w:hAnsi="Verdana"/>
                <w:sz w:val="18"/>
              </w:rPr>
              <w:t>)</w:t>
            </w:r>
          </w:p>
        </w:tc>
        <w:tc>
          <w:tcPr>
            <w:tcW w:w="5450" w:type="dxa"/>
          </w:tcPr>
          <w:p w14:paraId="595FF856" w14:textId="77777777" w:rsidR="004C65B4" w:rsidRPr="00E170B2" w:rsidRDefault="004C65B4" w:rsidP="00C33D23">
            <w:pPr>
              <w:spacing w:before="120" w:after="120"/>
              <w:rPr>
                <w:rFonts w:ascii="Verdana" w:hAnsi="Verdana"/>
                <w:sz w:val="18"/>
              </w:rPr>
            </w:pPr>
            <w:r w:rsidRPr="00E170B2">
              <w:rPr>
                <w:rFonts w:ascii="Verdana" w:hAnsi="Verdana"/>
                <w:sz w:val="18"/>
              </w:rPr>
              <w:t>if applicable – the following information about de-identification of redundant</w:t>
            </w:r>
            <w:r>
              <w:rPr>
                <w:rFonts w:ascii="Verdana" w:hAnsi="Verdana"/>
                <w:sz w:val="18"/>
              </w:rPr>
              <w:t xml:space="preserve"> </w:t>
            </w:r>
            <w:r w:rsidRPr="00E170B2">
              <w:rPr>
                <w:rFonts w:ascii="Verdana" w:hAnsi="Verdana"/>
                <w:sz w:val="18"/>
              </w:rPr>
              <w:t>CDR data:</w:t>
            </w:r>
          </w:p>
          <w:p w14:paraId="51C6D71A" w14:textId="7A8CF4F3" w:rsidR="004C65B4" w:rsidRPr="00E14A01" w:rsidRDefault="004C65B4" w:rsidP="00C33D23">
            <w:pPr>
              <w:pStyle w:val="ListParagraph"/>
              <w:numPr>
                <w:ilvl w:val="0"/>
                <w:numId w:val="45"/>
              </w:numPr>
              <w:spacing w:before="120" w:after="120"/>
              <w:rPr>
                <w:rFonts w:ascii="Verdana" w:hAnsi="Verdana"/>
                <w:sz w:val="18"/>
              </w:rPr>
            </w:pPr>
            <w:r w:rsidRPr="00E14A01">
              <w:rPr>
                <w:rFonts w:ascii="Verdana" w:hAnsi="Verdana"/>
                <w:sz w:val="18"/>
              </w:rPr>
              <w:t>if the de-identified is used by the accredited data recipient, examples</w:t>
            </w:r>
            <w:r>
              <w:rPr>
                <w:rFonts w:ascii="Verdana" w:hAnsi="Verdana"/>
                <w:sz w:val="18"/>
              </w:rPr>
              <w:t xml:space="preserve"> </w:t>
            </w:r>
            <w:r w:rsidRPr="00E14A01">
              <w:rPr>
                <w:rFonts w:ascii="Verdana" w:hAnsi="Verdana"/>
                <w:sz w:val="18"/>
              </w:rPr>
              <w:t>of how the accredited data recipient ordinarily uses de-identified data</w:t>
            </w:r>
            <w:r>
              <w:rPr>
                <w:rFonts w:ascii="Verdana" w:hAnsi="Verdana"/>
                <w:sz w:val="18"/>
              </w:rPr>
              <w:t xml:space="preserve">; </w:t>
            </w:r>
            <w:r w:rsidRPr="00E14A01">
              <w:rPr>
                <w:rFonts w:ascii="Verdana" w:hAnsi="Verdana"/>
                <w:sz w:val="18"/>
              </w:rPr>
              <w:t>and</w:t>
            </w:r>
          </w:p>
          <w:p w14:paraId="5F21DEA4" w14:textId="7515625A" w:rsidR="004C65B4" w:rsidRPr="00E170B2" w:rsidRDefault="004C65B4" w:rsidP="00C33D23">
            <w:pPr>
              <w:pStyle w:val="ListParagraph"/>
              <w:numPr>
                <w:ilvl w:val="0"/>
                <w:numId w:val="45"/>
              </w:numPr>
              <w:spacing w:before="120" w:after="120"/>
              <w:rPr>
                <w:rFonts w:ascii="Verdana" w:hAnsi="Verdana"/>
                <w:sz w:val="18"/>
              </w:rPr>
            </w:pPr>
            <w:r w:rsidRPr="00E14A01">
              <w:rPr>
                <w:rFonts w:ascii="Verdana" w:hAnsi="Verdana"/>
                <w:sz w:val="18"/>
              </w:rPr>
              <w:t xml:space="preserve">the </w:t>
            </w:r>
            <w:r>
              <w:rPr>
                <w:rFonts w:ascii="Verdana" w:hAnsi="Verdana"/>
                <w:sz w:val="18"/>
              </w:rPr>
              <w:t xml:space="preserve">further </w:t>
            </w:r>
            <w:r w:rsidRPr="00E14A01">
              <w:rPr>
                <w:rFonts w:ascii="Verdana" w:hAnsi="Verdana"/>
                <w:sz w:val="18"/>
              </w:rPr>
              <w:t>information specified in paragraph</w:t>
            </w:r>
            <w:r>
              <w:rPr>
                <w:rFonts w:ascii="Verdana" w:hAnsi="Verdana"/>
                <w:sz w:val="18"/>
              </w:rPr>
              <w:t xml:space="preserve"> 221 below.</w:t>
            </w:r>
          </w:p>
        </w:tc>
        <w:tc>
          <w:tcPr>
            <w:tcW w:w="4467" w:type="dxa"/>
          </w:tcPr>
          <w:p w14:paraId="7EEA94A8" w14:textId="3F7F4C6C" w:rsidR="003B29A0" w:rsidRPr="00A864C5" w:rsidRDefault="004C65B4" w:rsidP="003B29A0">
            <w:pPr>
              <w:spacing w:before="120" w:after="120"/>
              <w:rPr>
                <w:rFonts w:ascii="Verdana" w:hAnsi="Verdana"/>
                <w:i/>
                <w:sz w:val="18"/>
              </w:rPr>
            </w:pPr>
            <w:r>
              <w:rPr>
                <w:rFonts w:ascii="Verdana" w:hAnsi="Verdana"/>
                <w:sz w:val="18"/>
              </w:rPr>
              <w:t>This is</w:t>
            </w:r>
            <w:r w:rsidR="003B29A0">
              <w:rPr>
                <w:rFonts w:ascii="Verdana" w:hAnsi="Verdana"/>
                <w:sz w:val="18"/>
              </w:rPr>
              <w:t xml:space="preserve"> again</w:t>
            </w:r>
            <w:r>
              <w:rPr>
                <w:rFonts w:ascii="Verdana" w:hAnsi="Verdana"/>
                <w:sz w:val="18"/>
              </w:rPr>
              <w:t xml:space="preserve"> </w:t>
            </w:r>
            <w:r w:rsidR="003B29A0">
              <w:rPr>
                <w:rFonts w:ascii="Verdana" w:hAnsi="Verdana"/>
                <w:sz w:val="18"/>
              </w:rPr>
              <w:t xml:space="preserve">going to be </w:t>
            </w:r>
            <w:r>
              <w:rPr>
                <w:rFonts w:ascii="Verdana" w:hAnsi="Verdana"/>
                <w:sz w:val="18"/>
              </w:rPr>
              <w:t xml:space="preserve">very specific to each use case. </w:t>
            </w:r>
          </w:p>
          <w:p w14:paraId="31671FDB" w14:textId="46282078" w:rsidR="004C65B4" w:rsidRPr="00A864C5" w:rsidRDefault="004C65B4" w:rsidP="00C33D23">
            <w:pPr>
              <w:spacing w:before="120" w:after="120"/>
              <w:rPr>
                <w:rFonts w:ascii="Verdana" w:hAnsi="Verdana"/>
                <w:i/>
                <w:sz w:val="18"/>
              </w:rPr>
            </w:pPr>
          </w:p>
        </w:tc>
        <w:tc>
          <w:tcPr>
            <w:tcW w:w="1276" w:type="dxa"/>
            <w:shd w:val="clear" w:color="auto" w:fill="auto"/>
            <w:vAlign w:val="center"/>
          </w:tcPr>
          <w:p w14:paraId="5C3DEC13" w14:textId="309048FC" w:rsidR="004C65B4" w:rsidRPr="00791489" w:rsidRDefault="004C65B4" w:rsidP="00C33D23">
            <w:pPr>
              <w:spacing w:before="120" w:after="120"/>
              <w:jc w:val="center"/>
              <w:rPr>
                <w:rFonts w:ascii="Verdana" w:hAnsi="Verdana"/>
                <w:sz w:val="18"/>
              </w:rPr>
            </w:pPr>
          </w:p>
        </w:tc>
        <w:tc>
          <w:tcPr>
            <w:tcW w:w="1134" w:type="dxa"/>
            <w:shd w:val="clear" w:color="auto" w:fill="auto"/>
            <w:vAlign w:val="center"/>
          </w:tcPr>
          <w:p w14:paraId="7CFE857D" w14:textId="5E3EF6D6" w:rsidR="004C65B4" w:rsidRPr="00791489" w:rsidRDefault="004C65B4" w:rsidP="00C33D23">
            <w:pPr>
              <w:spacing w:before="120" w:after="120"/>
              <w:jc w:val="center"/>
              <w:rPr>
                <w:rFonts w:ascii="Verdana" w:hAnsi="Verdana"/>
                <w:sz w:val="18"/>
              </w:rPr>
            </w:pPr>
          </w:p>
        </w:tc>
      </w:tr>
      <w:tr w:rsidR="00B45E42" w:rsidRPr="00791489" w14:paraId="0BFF1B2B" w14:textId="25D7A679" w:rsidTr="00472659">
        <w:trPr>
          <w:trHeight w:val="567"/>
        </w:trPr>
        <w:tc>
          <w:tcPr>
            <w:tcW w:w="476" w:type="dxa"/>
            <w:tcMar>
              <w:left w:w="57" w:type="dxa"/>
              <w:right w:w="57" w:type="dxa"/>
            </w:tcMar>
            <w:vAlign w:val="center"/>
          </w:tcPr>
          <w:p w14:paraId="3563F699" w14:textId="2E4FFD04" w:rsidR="00B45E42" w:rsidRDefault="00B45E42" w:rsidP="00C33D23">
            <w:pPr>
              <w:spacing w:before="120" w:after="120"/>
              <w:rPr>
                <w:rFonts w:ascii="Verdana" w:hAnsi="Verdana"/>
                <w:b/>
                <w:sz w:val="18"/>
              </w:rPr>
            </w:pPr>
            <w:r>
              <w:rPr>
                <w:rFonts w:ascii="Verdana" w:hAnsi="Verdana"/>
                <w:b/>
                <w:noProof/>
                <w:sz w:val="18"/>
              </w:rPr>
              <w:drawing>
                <wp:inline distT="0" distB="0" distL="0" distR="0" wp14:anchorId="4DAA582C" wp14:editId="1B056209">
                  <wp:extent cx="213360" cy="213360"/>
                  <wp:effectExtent l="0" t="0" r="0" b="0"/>
                  <wp:docPr id="578491905" name="Picture 57849190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19D663A6" w14:textId="3FEAFFCB" w:rsidR="00B45E42" w:rsidRPr="000D6F2F" w:rsidRDefault="00B45E42" w:rsidP="00C33D23">
            <w:pPr>
              <w:spacing w:before="120" w:after="120"/>
              <w:rPr>
                <w:rFonts w:ascii="Verdana" w:hAnsi="Verdana"/>
                <w:sz w:val="18"/>
              </w:rPr>
            </w:pPr>
            <w:r>
              <w:rPr>
                <w:rFonts w:ascii="Verdana" w:hAnsi="Verdana"/>
                <w:b/>
                <w:sz w:val="18"/>
              </w:rPr>
              <w:t>ES 220</w:t>
            </w:r>
          </w:p>
        </w:tc>
        <w:tc>
          <w:tcPr>
            <w:tcW w:w="12327" w:type="dxa"/>
            <w:gridSpan w:val="4"/>
          </w:tcPr>
          <w:p w14:paraId="5D1A253B" w14:textId="44C0C1BC" w:rsidR="00B45E42" w:rsidRPr="00791489" w:rsidRDefault="00B45E42" w:rsidP="00C33D23">
            <w:pPr>
              <w:spacing w:before="120" w:after="120"/>
              <w:rPr>
                <w:rFonts w:ascii="Verdana" w:hAnsi="Verdana"/>
                <w:sz w:val="18"/>
              </w:rPr>
            </w:pPr>
            <w:r w:rsidRPr="00915507">
              <w:rPr>
                <w:rFonts w:ascii="Verdana" w:hAnsi="Verdana"/>
                <w:sz w:val="18"/>
              </w:rPr>
              <w:t>The policy must also include information about the CDR consumer’s election to delete, being:</w:t>
            </w:r>
          </w:p>
        </w:tc>
      </w:tr>
      <w:tr w:rsidR="004C65B4" w:rsidRPr="00791489" w14:paraId="2DC4295C" w14:textId="4B0329A2" w:rsidTr="00D92606">
        <w:trPr>
          <w:trHeight w:val="165"/>
        </w:trPr>
        <w:tc>
          <w:tcPr>
            <w:tcW w:w="476" w:type="dxa"/>
            <w:tcMar>
              <w:left w:w="57" w:type="dxa"/>
              <w:right w:w="57" w:type="dxa"/>
            </w:tcMar>
            <w:vAlign w:val="center"/>
          </w:tcPr>
          <w:p w14:paraId="07564234" w14:textId="77777777" w:rsidR="004C65B4" w:rsidRPr="000D6F2F" w:rsidRDefault="004C65B4" w:rsidP="00C33D23">
            <w:pPr>
              <w:spacing w:before="120" w:after="120"/>
              <w:jc w:val="right"/>
              <w:rPr>
                <w:rFonts w:ascii="Verdana" w:hAnsi="Verdana"/>
                <w:sz w:val="18"/>
              </w:rPr>
            </w:pPr>
          </w:p>
        </w:tc>
        <w:tc>
          <w:tcPr>
            <w:tcW w:w="1651" w:type="dxa"/>
          </w:tcPr>
          <w:p w14:paraId="523A530E" w14:textId="56F81BFB" w:rsidR="004C65B4" w:rsidRDefault="004C65B4" w:rsidP="00C33D23">
            <w:pPr>
              <w:spacing w:before="120" w:after="120"/>
              <w:jc w:val="right"/>
              <w:rPr>
                <w:rFonts w:ascii="Verdana" w:hAnsi="Verdana"/>
                <w:b/>
                <w:sz w:val="18"/>
              </w:rPr>
            </w:pPr>
            <w:r w:rsidRPr="000D6F2F">
              <w:rPr>
                <w:rFonts w:ascii="Verdana" w:hAnsi="Verdana"/>
                <w:sz w:val="18"/>
              </w:rPr>
              <w:t>(a)</w:t>
            </w:r>
          </w:p>
        </w:tc>
        <w:tc>
          <w:tcPr>
            <w:tcW w:w="5450" w:type="dxa"/>
          </w:tcPr>
          <w:p w14:paraId="2291331A" w14:textId="5DD7ED88" w:rsidR="004C65B4" w:rsidRPr="00915507" w:rsidRDefault="004C65B4" w:rsidP="00C33D23">
            <w:pPr>
              <w:spacing w:before="120" w:after="120"/>
              <w:rPr>
                <w:rFonts w:ascii="Verdana" w:hAnsi="Verdana"/>
                <w:sz w:val="18"/>
              </w:rPr>
            </w:pPr>
            <w:r w:rsidRPr="00B85302">
              <w:rPr>
                <w:rFonts w:ascii="Verdana" w:hAnsi="Verdana"/>
                <w:sz w:val="18"/>
              </w:rPr>
              <w:t>information about how the election operates and its effect</w:t>
            </w:r>
            <w:r>
              <w:rPr>
                <w:rFonts w:ascii="Verdana" w:hAnsi="Verdana"/>
                <w:sz w:val="18"/>
              </w:rPr>
              <w:t>; and</w:t>
            </w:r>
          </w:p>
        </w:tc>
        <w:tc>
          <w:tcPr>
            <w:tcW w:w="4467" w:type="dxa"/>
          </w:tcPr>
          <w:p w14:paraId="37623F51" w14:textId="577DB482" w:rsidR="00D92606" w:rsidRDefault="00D92606" w:rsidP="00D92606">
            <w:pPr>
              <w:spacing w:before="120" w:after="120"/>
              <w:rPr>
                <w:rFonts w:ascii="Verdana" w:hAnsi="Verdana"/>
                <w:sz w:val="18"/>
              </w:rPr>
            </w:pPr>
          </w:p>
        </w:tc>
        <w:tc>
          <w:tcPr>
            <w:tcW w:w="1276" w:type="dxa"/>
            <w:shd w:val="clear" w:color="auto" w:fill="auto"/>
            <w:vAlign w:val="center"/>
          </w:tcPr>
          <w:p w14:paraId="4F23DC38" w14:textId="5A6904BC" w:rsidR="004C65B4" w:rsidRPr="00791489" w:rsidRDefault="004C65B4" w:rsidP="00C33D23">
            <w:pPr>
              <w:spacing w:before="120" w:after="120"/>
              <w:jc w:val="center"/>
              <w:rPr>
                <w:rFonts w:ascii="Verdana" w:hAnsi="Verdana"/>
                <w:sz w:val="18"/>
              </w:rPr>
            </w:pPr>
          </w:p>
        </w:tc>
        <w:tc>
          <w:tcPr>
            <w:tcW w:w="1134" w:type="dxa"/>
            <w:shd w:val="clear" w:color="auto" w:fill="auto"/>
            <w:vAlign w:val="center"/>
          </w:tcPr>
          <w:p w14:paraId="5361162D" w14:textId="2A4CABD6" w:rsidR="004C65B4" w:rsidRPr="00791489" w:rsidRDefault="004C65B4" w:rsidP="00C33D23">
            <w:pPr>
              <w:spacing w:before="120" w:after="120"/>
              <w:jc w:val="center"/>
              <w:rPr>
                <w:rFonts w:ascii="Verdana" w:hAnsi="Verdana"/>
                <w:sz w:val="18"/>
              </w:rPr>
            </w:pPr>
          </w:p>
        </w:tc>
      </w:tr>
      <w:tr w:rsidR="004C65B4" w:rsidRPr="00791489" w14:paraId="5FC60C65" w14:textId="15FC8CAB" w:rsidTr="00B45E42">
        <w:trPr>
          <w:trHeight w:val="567"/>
        </w:trPr>
        <w:tc>
          <w:tcPr>
            <w:tcW w:w="476" w:type="dxa"/>
            <w:tcMar>
              <w:left w:w="57" w:type="dxa"/>
              <w:right w:w="57" w:type="dxa"/>
            </w:tcMar>
            <w:vAlign w:val="center"/>
          </w:tcPr>
          <w:p w14:paraId="2EB6DD2A" w14:textId="77777777" w:rsidR="004C65B4" w:rsidRPr="000D6F2F" w:rsidRDefault="004C65B4" w:rsidP="00C33D23">
            <w:pPr>
              <w:spacing w:before="120" w:after="120"/>
              <w:jc w:val="right"/>
              <w:rPr>
                <w:rFonts w:ascii="Verdana" w:hAnsi="Verdana"/>
                <w:sz w:val="18"/>
              </w:rPr>
            </w:pPr>
          </w:p>
        </w:tc>
        <w:tc>
          <w:tcPr>
            <w:tcW w:w="1651" w:type="dxa"/>
          </w:tcPr>
          <w:p w14:paraId="497EA68C" w14:textId="13368C73" w:rsidR="004C65B4" w:rsidRDefault="004C65B4" w:rsidP="00C33D23">
            <w:pPr>
              <w:spacing w:before="120" w:after="120"/>
              <w:jc w:val="right"/>
              <w:rPr>
                <w:rFonts w:ascii="Verdana" w:hAnsi="Verdana"/>
                <w:b/>
                <w:sz w:val="18"/>
              </w:rPr>
            </w:pPr>
            <w:r w:rsidRPr="000D6F2F">
              <w:rPr>
                <w:rFonts w:ascii="Verdana" w:hAnsi="Verdana"/>
                <w:sz w:val="18"/>
              </w:rPr>
              <w:t>(</w:t>
            </w:r>
            <w:r>
              <w:rPr>
                <w:rFonts w:ascii="Verdana" w:hAnsi="Verdana"/>
                <w:sz w:val="18"/>
              </w:rPr>
              <w:t>b</w:t>
            </w:r>
            <w:r w:rsidRPr="000D6F2F">
              <w:rPr>
                <w:rFonts w:ascii="Verdana" w:hAnsi="Verdana"/>
                <w:sz w:val="18"/>
              </w:rPr>
              <w:t>)</w:t>
            </w:r>
          </w:p>
        </w:tc>
        <w:tc>
          <w:tcPr>
            <w:tcW w:w="5450" w:type="dxa"/>
          </w:tcPr>
          <w:p w14:paraId="1AC81524" w14:textId="3FC05093" w:rsidR="004C65B4" w:rsidRPr="00915507" w:rsidRDefault="004C65B4" w:rsidP="00C33D23">
            <w:pPr>
              <w:spacing w:before="120" w:after="120"/>
              <w:rPr>
                <w:rFonts w:ascii="Verdana" w:hAnsi="Verdana"/>
                <w:sz w:val="18"/>
              </w:rPr>
            </w:pPr>
            <w:r w:rsidRPr="00B85302">
              <w:rPr>
                <w:rFonts w:ascii="Verdana" w:hAnsi="Verdana"/>
                <w:sz w:val="18"/>
              </w:rPr>
              <w:t>information about how CDR consumers can exercise the election</w:t>
            </w:r>
            <w:r>
              <w:rPr>
                <w:rFonts w:ascii="Verdana" w:hAnsi="Verdana"/>
                <w:sz w:val="18"/>
              </w:rPr>
              <w:t>.</w:t>
            </w:r>
          </w:p>
        </w:tc>
        <w:tc>
          <w:tcPr>
            <w:tcW w:w="4467" w:type="dxa"/>
          </w:tcPr>
          <w:p w14:paraId="08DFB61C" w14:textId="5249FB68" w:rsidR="004C65B4" w:rsidRDefault="003B29A0" w:rsidP="00C33D23">
            <w:pPr>
              <w:spacing w:before="120" w:after="120"/>
              <w:rPr>
                <w:rFonts w:ascii="Verdana" w:hAnsi="Verdana"/>
                <w:sz w:val="18"/>
              </w:rPr>
            </w:pPr>
            <w:r>
              <w:rPr>
                <w:rFonts w:ascii="Verdana" w:hAnsi="Verdana"/>
                <w:sz w:val="18"/>
              </w:rPr>
              <w:t>See comment for Rule 7.2(4)(f) and (h)</w:t>
            </w:r>
          </w:p>
        </w:tc>
        <w:tc>
          <w:tcPr>
            <w:tcW w:w="1276" w:type="dxa"/>
            <w:shd w:val="clear" w:color="auto" w:fill="auto"/>
            <w:vAlign w:val="center"/>
          </w:tcPr>
          <w:p w14:paraId="095A1436" w14:textId="13D49965" w:rsidR="004C65B4" w:rsidRPr="00791489" w:rsidRDefault="004C65B4" w:rsidP="00C33D23">
            <w:pPr>
              <w:spacing w:before="120" w:after="120"/>
              <w:jc w:val="center"/>
              <w:rPr>
                <w:rFonts w:ascii="Verdana" w:hAnsi="Verdana"/>
                <w:sz w:val="18"/>
              </w:rPr>
            </w:pPr>
          </w:p>
        </w:tc>
        <w:tc>
          <w:tcPr>
            <w:tcW w:w="1134" w:type="dxa"/>
            <w:shd w:val="clear" w:color="auto" w:fill="auto"/>
            <w:vAlign w:val="center"/>
          </w:tcPr>
          <w:p w14:paraId="14AD4062" w14:textId="09E791E4" w:rsidR="004C65B4" w:rsidRPr="00791489" w:rsidRDefault="004C65B4" w:rsidP="00C33D23">
            <w:pPr>
              <w:spacing w:before="120" w:after="120"/>
              <w:jc w:val="center"/>
              <w:rPr>
                <w:rFonts w:ascii="Verdana" w:hAnsi="Verdana"/>
                <w:sz w:val="18"/>
              </w:rPr>
            </w:pPr>
          </w:p>
        </w:tc>
      </w:tr>
      <w:tr w:rsidR="004C65B4" w:rsidRPr="00791489" w14:paraId="13C94F94" w14:textId="549FDF02" w:rsidTr="00B45E42">
        <w:trPr>
          <w:trHeight w:val="567"/>
        </w:trPr>
        <w:tc>
          <w:tcPr>
            <w:tcW w:w="476" w:type="dxa"/>
            <w:tcMar>
              <w:left w:w="57" w:type="dxa"/>
              <w:right w:w="57" w:type="dxa"/>
            </w:tcMar>
            <w:vAlign w:val="center"/>
          </w:tcPr>
          <w:p w14:paraId="55A4FBC7" w14:textId="5DDD8FA2" w:rsidR="004C65B4" w:rsidRDefault="004C65B4" w:rsidP="00C33D23">
            <w:pPr>
              <w:spacing w:before="120" w:after="120"/>
              <w:rPr>
                <w:rFonts w:ascii="Verdana" w:hAnsi="Verdana"/>
                <w:b/>
                <w:sz w:val="18"/>
              </w:rPr>
            </w:pPr>
            <w:r>
              <w:rPr>
                <w:rFonts w:ascii="Verdana" w:hAnsi="Verdana"/>
                <w:b/>
                <w:noProof/>
                <w:sz w:val="18"/>
              </w:rPr>
              <w:drawing>
                <wp:inline distT="0" distB="0" distL="0" distR="0" wp14:anchorId="17DC1A96" wp14:editId="71F4B312">
                  <wp:extent cx="213360" cy="213360"/>
                  <wp:effectExtent l="0" t="0" r="0" b="0"/>
                  <wp:docPr id="578491906" name="Picture 57849190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5A1988A3" w14:textId="384F4F61" w:rsidR="004C65B4" w:rsidRPr="000D6F2F" w:rsidRDefault="004C65B4" w:rsidP="00C33D23">
            <w:pPr>
              <w:spacing w:before="120" w:after="120"/>
              <w:rPr>
                <w:rFonts w:ascii="Verdana" w:hAnsi="Verdana"/>
                <w:sz w:val="18"/>
              </w:rPr>
            </w:pPr>
            <w:r>
              <w:rPr>
                <w:rFonts w:ascii="Verdana" w:hAnsi="Verdana"/>
                <w:b/>
                <w:sz w:val="18"/>
              </w:rPr>
              <w:t>ES 221</w:t>
            </w:r>
          </w:p>
        </w:tc>
        <w:tc>
          <w:tcPr>
            <w:tcW w:w="12327" w:type="dxa"/>
            <w:gridSpan w:val="4"/>
            <w:shd w:val="clear" w:color="auto" w:fill="auto"/>
          </w:tcPr>
          <w:p w14:paraId="143B2C44" w14:textId="547776BC" w:rsidR="004C65B4" w:rsidRPr="00791489" w:rsidRDefault="004C65B4" w:rsidP="00C33D23">
            <w:pPr>
              <w:spacing w:before="120" w:after="120"/>
              <w:rPr>
                <w:rFonts w:ascii="Verdana" w:hAnsi="Verdana"/>
                <w:sz w:val="18"/>
              </w:rPr>
            </w:pPr>
            <w:r w:rsidRPr="00DB340E">
              <w:rPr>
                <w:rFonts w:ascii="Verdana" w:hAnsi="Verdana"/>
                <w:sz w:val="18"/>
              </w:rPr>
              <w:t>The further information about de-identification is:</w:t>
            </w:r>
          </w:p>
        </w:tc>
      </w:tr>
      <w:tr w:rsidR="004C65B4" w:rsidRPr="00791489" w14:paraId="697C24F1" w14:textId="790C9ABB" w:rsidTr="00B45E42">
        <w:trPr>
          <w:trHeight w:val="567"/>
        </w:trPr>
        <w:tc>
          <w:tcPr>
            <w:tcW w:w="476" w:type="dxa"/>
            <w:tcMar>
              <w:left w:w="57" w:type="dxa"/>
              <w:right w:w="57" w:type="dxa"/>
            </w:tcMar>
            <w:vAlign w:val="center"/>
          </w:tcPr>
          <w:p w14:paraId="202076F5" w14:textId="77777777" w:rsidR="004C65B4" w:rsidRPr="000D6F2F" w:rsidRDefault="004C65B4" w:rsidP="00C33D23">
            <w:pPr>
              <w:spacing w:before="120" w:after="120"/>
              <w:jc w:val="right"/>
              <w:rPr>
                <w:rFonts w:ascii="Verdana" w:hAnsi="Verdana"/>
                <w:sz w:val="18"/>
              </w:rPr>
            </w:pPr>
          </w:p>
        </w:tc>
        <w:tc>
          <w:tcPr>
            <w:tcW w:w="1651" w:type="dxa"/>
          </w:tcPr>
          <w:p w14:paraId="17A56C16" w14:textId="355BDC55" w:rsidR="004C65B4" w:rsidRDefault="004C65B4" w:rsidP="00C33D23">
            <w:pPr>
              <w:spacing w:before="120" w:after="120"/>
              <w:jc w:val="right"/>
              <w:rPr>
                <w:rFonts w:ascii="Verdana" w:hAnsi="Verdana"/>
                <w:b/>
                <w:sz w:val="18"/>
              </w:rPr>
            </w:pPr>
            <w:r w:rsidRPr="000D6F2F">
              <w:rPr>
                <w:rFonts w:ascii="Verdana" w:hAnsi="Verdana"/>
                <w:sz w:val="18"/>
              </w:rPr>
              <w:t>(a)</w:t>
            </w:r>
          </w:p>
        </w:tc>
        <w:tc>
          <w:tcPr>
            <w:tcW w:w="5450" w:type="dxa"/>
          </w:tcPr>
          <w:p w14:paraId="40303B78" w14:textId="6DD1F98F" w:rsidR="004C65B4" w:rsidRPr="00DB340E" w:rsidRDefault="004C65B4" w:rsidP="00C33D23">
            <w:pPr>
              <w:spacing w:before="120" w:after="120"/>
              <w:rPr>
                <w:rFonts w:ascii="Verdana" w:hAnsi="Verdana"/>
                <w:sz w:val="18"/>
              </w:rPr>
            </w:pPr>
            <w:r w:rsidRPr="009D1BD3">
              <w:rPr>
                <w:rFonts w:ascii="Verdana" w:hAnsi="Verdana"/>
                <w:sz w:val="18"/>
              </w:rPr>
              <w:t>How the accredited person de-identifies CDR data, including a description of the techniques it uses; and</w:t>
            </w:r>
          </w:p>
        </w:tc>
        <w:tc>
          <w:tcPr>
            <w:tcW w:w="4467" w:type="dxa"/>
          </w:tcPr>
          <w:p w14:paraId="15663C45" w14:textId="6FDC4DBA" w:rsidR="004C65B4" w:rsidRDefault="003B29A0" w:rsidP="00C33D23">
            <w:pPr>
              <w:spacing w:before="120" w:after="120"/>
              <w:rPr>
                <w:rFonts w:ascii="Verdana" w:hAnsi="Verdana"/>
                <w:sz w:val="18"/>
              </w:rPr>
            </w:pPr>
            <w:r>
              <w:rPr>
                <w:rFonts w:ascii="Verdana" w:hAnsi="Verdana"/>
                <w:sz w:val="18"/>
              </w:rPr>
              <w:t>See comment for Rule 7.2(4)(e) and (g)</w:t>
            </w:r>
          </w:p>
        </w:tc>
        <w:tc>
          <w:tcPr>
            <w:tcW w:w="1276" w:type="dxa"/>
            <w:shd w:val="clear" w:color="auto" w:fill="auto"/>
            <w:vAlign w:val="center"/>
          </w:tcPr>
          <w:p w14:paraId="0E22D619" w14:textId="43764690" w:rsidR="004C65B4" w:rsidRPr="00791489" w:rsidRDefault="004C65B4" w:rsidP="00C33D23">
            <w:pPr>
              <w:spacing w:before="120" w:after="120"/>
              <w:jc w:val="center"/>
              <w:rPr>
                <w:rFonts w:ascii="Verdana" w:hAnsi="Verdana"/>
                <w:sz w:val="18"/>
              </w:rPr>
            </w:pPr>
          </w:p>
        </w:tc>
        <w:tc>
          <w:tcPr>
            <w:tcW w:w="1134" w:type="dxa"/>
            <w:shd w:val="clear" w:color="auto" w:fill="auto"/>
            <w:vAlign w:val="center"/>
          </w:tcPr>
          <w:p w14:paraId="7398DE5C" w14:textId="5E0D68B1" w:rsidR="004C65B4" w:rsidRPr="00791489" w:rsidRDefault="004C65B4" w:rsidP="00C33D23">
            <w:pPr>
              <w:spacing w:before="120" w:after="120"/>
              <w:jc w:val="center"/>
              <w:rPr>
                <w:rFonts w:ascii="Verdana" w:hAnsi="Verdana"/>
                <w:sz w:val="18"/>
              </w:rPr>
            </w:pPr>
          </w:p>
        </w:tc>
      </w:tr>
      <w:tr w:rsidR="004C65B4" w:rsidRPr="00791489" w14:paraId="453728B7" w14:textId="429BF04B" w:rsidTr="00B45E42">
        <w:trPr>
          <w:trHeight w:val="567"/>
        </w:trPr>
        <w:tc>
          <w:tcPr>
            <w:tcW w:w="476" w:type="dxa"/>
            <w:tcMar>
              <w:left w:w="57" w:type="dxa"/>
              <w:right w:w="57" w:type="dxa"/>
            </w:tcMar>
            <w:vAlign w:val="center"/>
          </w:tcPr>
          <w:p w14:paraId="0DF61683" w14:textId="77777777" w:rsidR="004C65B4" w:rsidRPr="000D6F2F" w:rsidRDefault="004C65B4" w:rsidP="00C33D23">
            <w:pPr>
              <w:spacing w:before="120" w:after="120"/>
              <w:jc w:val="right"/>
              <w:rPr>
                <w:rFonts w:ascii="Verdana" w:hAnsi="Verdana"/>
                <w:sz w:val="18"/>
              </w:rPr>
            </w:pPr>
          </w:p>
        </w:tc>
        <w:tc>
          <w:tcPr>
            <w:tcW w:w="1651" w:type="dxa"/>
          </w:tcPr>
          <w:p w14:paraId="41B479C9" w14:textId="188052D3" w:rsidR="004C65B4" w:rsidRDefault="004C65B4" w:rsidP="00C33D23">
            <w:pPr>
              <w:spacing w:before="120" w:after="120"/>
              <w:jc w:val="right"/>
              <w:rPr>
                <w:rFonts w:ascii="Verdana" w:hAnsi="Verdana"/>
                <w:b/>
                <w:sz w:val="18"/>
              </w:rPr>
            </w:pPr>
            <w:r w:rsidRPr="000D6F2F">
              <w:rPr>
                <w:rFonts w:ascii="Verdana" w:hAnsi="Verdana"/>
                <w:sz w:val="18"/>
              </w:rPr>
              <w:t>(</w:t>
            </w:r>
            <w:r>
              <w:rPr>
                <w:rFonts w:ascii="Verdana" w:hAnsi="Verdana"/>
                <w:sz w:val="18"/>
              </w:rPr>
              <w:t>b</w:t>
            </w:r>
            <w:r w:rsidRPr="000D6F2F">
              <w:rPr>
                <w:rFonts w:ascii="Verdana" w:hAnsi="Verdana"/>
                <w:sz w:val="18"/>
              </w:rPr>
              <w:t>)</w:t>
            </w:r>
          </w:p>
        </w:tc>
        <w:tc>
          <w:tcPr>
            <w:tcW w:w="5450" w:type="dxa"/>
          </w:tcPr>
          <w:p w14:paraId="6A80C664" w14:textId="0EA52226" w:rsidR="004C65B4" w:rsidRPr="009D1BD3" w:rsidRDefault="004C65B4" w:rsidP="00C33D23">
            <w:pPr>
              <w:spacing w:before="120" w:after="120"/>
              <w:rPr>
                <w:rFonts w:ascii="Verdana" w:hAnsi="Verdana"/>
                <w:sz w:val="18"/>
              </w:rPr>
            </w:pPr>
            <w:r w:rsidRPr="009D1BD3">
              <w:rPr>
                <w:rFonts w:ascii="Verdana" w:hAnsi="Verdana"/>
                <w:sz w:val="18"/>
              </w:rPr>
              <w:t>If the accredited person ordinarily discloses (by sale or otherwise) deidentified data to one or more persons:</w:t>
            </w:r>
          </w:p>
          <w:p w14:paraId="03A77B7E" w14:textId="01C57545" w:rsidR="004C65B4" w:rsidRPr="009D1BD3" w:rsidRDefault="004C65B4" w:rsidP="00803B8A">
            <w:pPr>
              <w:pStyle w:val="ListParagraph"/>
              <w:numPr>
                <w:ilvl w:val="0"/>
                <w:numId w:val="46"/>
              </w:numPr>
              <w:spacing w:before="120" w:after="120"/>
              <w:rPr>
                <w:rFonts w:ascii="Verdana" w:hAnsi="Verdana"/>
                <w:sz w:val="18"/>
              </w:rPr>
            </w:pPr>
            <w:r w:rsidRPr="009D1BD3">
              <w:rPr>
                <w:rFonts w:ascii="Verdana" w:hAnsi="Verdana"/>
                <w:sz w:val="18"/>
              </w:rPr>
              <w:t>that fact</w:t>
            </w:r>
            <w:r>
              <w:rPr>
                <w:rFonts w:ascii="Verdana" w:hAnsi="Verdana"/>
                <w:sz w:val="18"/>
              </w:rPr>
              <w:t xml:space="preserve">; and </w:t>
            </w:r>
          </w:p>
          <w:p w14:paraId="4B394021" w14:textId="371B5377" w:rsidR="004C65B4" w:rsidRPr="009D1BD3" w:rsidRDefault="004C65B4" w:rsidP="00803B8A">
            <w:pPr>
              <w:pStyle w:val="ListParagraph"/>
              <w:numPr>
                <w:ilvl w:val="0"/>
                <w:numId w:val="46"/>
              </w:numPr>
              <w:spacing w:before="120" w:after="120"/>
              <w:rPr>
                <w:rFonts w:ascii="Verdana" w:hAnsi="Verdana"/>
                <w:sz w:val="18"/>
              </w:rPr>
            </w:pPr>
            <w:r w:rsidRPr="009D1BD3">
              <w:rPr>
                <w:rFonts w:ascii="Verdana" w:hAnsi="Verdana"/>
                <w:sz w:val="18"/>
              </w:rPr>
              <w:t xml:space="preserve">to what classes of persons it ordinarily discloses </w:t>
            </w:r>
            <w:r w:rsidRPr="009D1BD3">
              <w:rPr>
                <w:rFonts w:ascii="Verdana" w:hAnsi="Verdana"/>
                <w:sz w:val="18"/>
              </w:rPr>
              <w:lastRenderedPageBreak/>
              <w:t>such data</w:t>
            </w:r>
            <w:r>
              <w:rPr>
                <w:rFonts w:ascii="Verdana" w:hAnsi="Verdana"/>
                <w:sz w:val="18"/>
              </w:rPr>
              <w:t xml:space="preserve">; and </w:t>
            </w:r>
          </w:p>
          <w:p w14:paraId="43B0FC8B" w14:textId="2076482F" w:rsidR="004C65B4" w:rsidRPr="009D1BD3" w:rsidRDefault="004C65B4" w:rsidP="00803B8A">
            <w:pPr>
              <w:pStyle w:val="ListParagraph"/>
              <w:numPr>
                <w:ilvl w:val="0"/>
                <w:numId w:val="46"/>
              </w:numPr>
              <w:spacing w:before="120" w:after="120"/>
              <w:rPr>
                <w:rFonts w:ascii="Verdana" w:hAnsi="Verdana"/>
                <w:sz w:val="18"/>
              </w:rPr>
            </w:pPr>
            <w:r w:rsidRPr="009D1BD3">
              <w:rPr>
                <w:rFonts w:ascii="Verdana" w:hAnsi="Verdana"/>
                <w:sz w:val="18"/>
              </w:rPr>
              <w:t>why it so discloses such data.</w:t>
            </w:r>
          </w:p>
        </w:tc>
        <w:tc>
          <w:tcPr>
            <w:tcW w:w="4467" w:type="dxa"/>
          </w:tcPr>
          <w:p w14:paraId="77D5493E" w14:textId="48A45FC4" w:rsidR="004C65B4" w:rsidRDefault="004C65B4" w:rsidP="00C33D23">
            <w:pPr>
              <w:spacing w:before="120" w:after="120"/>
              <w:rPr>
                <w:rFonts w:ascii="Verdana" w:hAnsi="Verdana"/>
                <w:sz w:val="18"/>
              </w:rPr>
            </w:pPr>
            <w:r>
              <w:rPr>
                <w:rFonts w:ascii="Verdana" w:hAnsi="Verdana"/>
                <w:sz w:val="18"/>
              </w:rPr>
              <w:lastRenderedPageBreak/>
              <w:t>See comment for Rule 7.2(5)(b)</w:t>
            </w:r>
          </w:p>
        </w:tc>
        <w:tc>
          <w:tcPr>
            <w:tcW w:w="1276" w:type="dxa"/>
            <w:shd w:val="clear" w:color="auto" w:fill="auto"/>
            <w:vAlign w:val="center"/>
          </w:tcPr>
          <w:p w14:paraId="4C67CD2E" w14:textId="13C494C0" w:rsidR="004C65B4" w:rsidRPr="00791489" w:rsidRDefault="004C65B4" w:rsidP="00C33D23">
            <w:pPr>
              <w:spacing w:before="120" w:after="120"/>
              <w:jc w:val="center"/>
              <w:rPr>
                <w:rFonts w:ascii="Verdana" w:hAnsi="Verdana"/>
                <w:sz w:val="18"/>
              </w:rPr>
            </w:pPr>
          </w:p>
        </w:tc>
        <w:tc>
          <w:tcPr>
            <w:tcW w:w="1134" w:type="dxa"/>
            <w:shd w:val="clear" w:color="auto" w:fill="auto"/>
            <w:vAlign w:val="center"/>
          </w:tcPr>
          <w:p w14:paraId="735E4B6E" w14:textId="2B7DCA3F" w:rsidR="004C65B4" w:rsidRPr="00791489" w:rsidRDefault="004C65B4" w:rsidP="00C33D23">
            <w:pPr>
              <w:spacing w:before="120" w:after="120"/>
              <w:jc w:val="center"/>
              <w:rPr>
                <w:rFonts w:ascii="Verdana" w:hAnsi="Verdana"/>
                <w:sz w:val="18"/>
              </w:rPr>
            </w:pPr>
          </w:p>
        </w:tc>
      </w:tr>
      <w:tr w:rsidR="004C65B4" w:rsidRPr="00791489" w14:paraId="73F3C68B" w14:textId="1CF9FACB" w:rsidTr="00B45E42">
        <w:trPr>
          <w:trHeight w:val="567"/>
        </w:trPr>
        <w:tc>
          <w:tcPr>
            <w:tcW w:w="476" w:type="dxa"/>
            <w:tcMar>
              <w:left w:w="57" w:type="dxa"/>
              <w:right w:w="57" w:type="dxa"/>
            </w:tcMar>
            <w:vAlign w:val="center"/>
          </w:tcPr>
          <w:p w14:paraId="51D2F9FC" w14:textId="77777777" w:rsidR="004C65B4" w:rsidRDefault="004C65B4" w:rsidP="00803B8A">
            <w:pPr>
              <w:spacing w:before="120" w:after="120"/>
              <w:rPr>
                <w:rFonts w:ascii="Verdana" w:hAnsi="Verdana"/>
                <w:b/>
                <w:sz w:val="18"/>
              </w:rPr>
            </w:pPr>
          </w:p>
        </w:tc>
        <w:tc>
          <w:tcPr>
            <w:tcW w:w="1651" w:type="dxa"/>
          </w:tcPr>
          <w:p w14:paraId="7C4A98F4" w14:textId="34CA595C" w:rsidR="004C65B4" w:rsidRDefault="004C65B4" w:rsidP="00803B8A">
            <w:pPr>
              <w:spacing w:before="120" w:after="120"/>
              <w:rPr>
                <w:rFonts w:ascii="Verdana" w:hAnsi="Verdana"/>
                <w:b/>
                <w:sz w:val="18"/>
              </w:rPr>
            </w:pPr>
            <w:r>
              <w:rPr>
                <w:rFonts w:ascii="Verdana" w:hAnsi="Verdana"/>
                <w:b/>
                <w:sz w:val="18"/>
              </w:rPr>
              <w:t>ES 222</w:t>
            </w:r>
          </w:p>
        </w:tc>
        <w:tc>
          <w:tcPr>
            <w:tcW w:w="5450" w:type="dxa"/>
          </w:tcPr>
          <w:p w14:paraId="54DAB6A2" w14:textId="0893CC1F" w:rsidR="004C65B4" w:rsidRPr="0040523E" w:rsidRDefault="004C65B4" w:rsidP="00C33D23">
            <w:pPr>
              <w:spacing w:before="120" w:after="120"/>
              <w:rPr>
                <w:rFonts w:ascii="Verdana" w:hAnsi="Verdana"/>
                <w:sz w:val="18"/>
              </w:rPr>
            </w:pPr>
            <w:r>
              <w:rPr>
                <w:rFonts w:ascii="Verdana" w:hAnsi="Verdana"/>
                <w:sz w:val="18"/>
              </w:rPr>
              <w:t xml:space="preserve">Accredited data recipients and data holders must also </w:t>
            </w:r>
            <w:r w:rsidRPr="0040523E">
              <w:rPr>
                <w:rFonts w:ascii="Verdana" w:hAnsi="Verdana"/>
                <w:sz w:val="18"/>
              </w:rPr>
              <w:t xml:space="preserve">include information </w:t>
            </w:r>
            <w:r>
              <w:rPr>
                <w:rFonts w:ascii="Verdana" w:hAnsi="Verdana"/>
                <w:sz w:val="18"/>
              </w:rPr>
              <w:t xml:space="preserve">in their CDR policies </w:t>
            </w:r>
            <w:r w:rsidRPr="0040523E">
              <w:rPr>
                <w:rFonts w:ascii="Verdana" w:hAnsi="Verdana"/>
                <w:sz w:val="18"/>
              </w:rPr>
              <w:t xml:space="preserve">about their </w:t>
            </w:r>
            <w:r>
              <w:rPr>
                <w:rFonts w:ascii="Verdana" w:hAnsi="Verdana"/>
                <w:sz w:val="18"/>
              </w:rPr>
              <w:t xml:space="preserve"> internal dispute resolution </w:t>
            </w:r>
            <w:r w:rsidRPr="0040523E">
              <w:rPr>
                <w:rFonts w:ascii="Verdana" w:hAnsi="Verdana"/>
                <w:sz w:val="18"/>
              </w:rPr>
              <w:t>processes</w:t>
            </w:r>
            <w:r>
              <w:rPr>
                <w:rFonts w:ascii="Verdana" w:hAnsi="Verdana"/>
                <w:sz w:val="18"/>
              </w:rPr>
              <w:t>,</w:t>
            </w:r>
            <w:r w:rsidRPr="0040523E">
              <w:rPr>
                <w:rFonts w:ascii="Verdana" w:hAnsi="Verdana"/>
                <w:sz w:val="18"/>
              </w:rPr>
              <w:t xml:space="preserve"> including how a complaint can be</w:t>
            </w:r>
            <w:r>
              <w:rPr>
                <w:rFonts w:ascii="Verdana" w:hAnsi="Verdana"/>
                <w:sz w:val="18"/>
              </w:rPr>
              <w:t xml:space="preserve"> </w:t>
            </w:r>
            <w:r w:rsidRPr="0040523E">
              <w:rPr>
                <w:rFonts w:ascii="Verdana" w:hAnsi="Verdana"/>
                <w:sz w:val="18"/>
              </w:rPr>
              <w:t>made and the participant’s process for handling CDR consumer complaints.</w:t>
            </w:r>
          </w:p>
        </w:tc>
        <w:tc>
          <w:tcPr>
            <w:tcW w:w="4467" w:type="dxa"/>
          </w:tcPr>
          <w:p w14:paraId="659D5791" w14:textId="12B52031" w:rsidR="004C65B4" w:rsidRPr="0040523E" w:rsidRDefault="00D92606" w:rsidP="00C33D23">
            <w:pPr>
              <w:spacing w:before="120" w:after="120"/>
              <w:ind w:right="-12"/>
              <w:rPr>
                <w:rFonts w:ascii="Verdana" w:hAnsi="Verdana"/>
                <w:color w:val="231F20"/>
                <w:sz w:val="18"/>
              </w:rPr>
            </w:pPr>
            <w:r>
              <w:rPr>
                <w:rFonts w:ascii="Verdana" w:hAnsi="Verdana"/>
                <w:color w:val="231F20"/>
                <w:sz w:val="18"/>
              </w:rPr>
              <w:t>See comment for Rule 7.2(6)</w:t>
            </w:r>
          </w:p>
        </w:tc>
        <w:tc>
          <w:tcPr>
            <w:tcW w:w="1276" w:type="dxa"/>
            <w:shd w:val="clear" w:color="auto" w:fill="auto"/>
            <w:vAlign w:val="center"/>
          </w:tcPr>
          <w:p w14:paraId="60353309" w14:textId="37871FE7" w:rsidR="004C65B4" w:rsidRPr="00791489" w:rsidRDefault="004C65B4" w:rsidP="00C33D23">
            <w:pPr>
              <w:spacing w:before="120" w:after="120"/>
              <w:jc w:val="center"/>
              <w:rPr>
                <w:rFonts w:ascii="Verdana" w:hAnsi="Verdana"/>
                <w:sz w:val="18"/>
              </w:rPr>
            </w:pPr>
          </w:p>
        </w:tc>
        <w:tc>
          <w:tcPr>
            <w:tcW w:w="1134" w:type="dxa"/>
            <w:shd w:val="clear" w:color="auto" w:fill="auto"/>
            <w:vAlign w:val="center"/>
          </w:tcPr>
          <w:p w14:paraId="3D16FD36" w14:textId="778B56A0" w:rsidR="004C65B4" w:rsidRPr="00791489" w:rsidRDefault="004C65B4" w:rsidP="00C33D23">
            <w:pPr>
              <w:spacing w:before="120" w:after="120"/>
              <w:jc w:val="center"/>
              <w:rPr>
                <w:rFonts w:ascii="Verdana" w:hAnsi="Verdana"/>
                <w:sz w:val="18"/>
              </w:rPr>
            </w:pPr>
          </w:p>
        </w:tc>
      </w:tr>
      <w:tr w:rsidR="004C65B4" w:rsidRPr="00791489" w14:paraId="135B6B45" w14:textId="01C19A29" w:rsidTr="00B45E42">
        <w:trPr>
          <w:trHeight w:val="567"/>
        </w:trPr>
        <w:tc>
          <w:tcPr>
            <w:tcW w:w="476" w:type="dxa"/>
            <w:tcMar>
              <w:left w:w="57" w:type="dxa"/>
              <w:right w:w="57" w:type="dxa"/>
            </w:tcMar>
            <w:vAlign w:val="center"/>
          </w:tcPr>
          <w:p w14:paraId="471373F7" w14:textId="6F5CDF04" w:rsidR="004C65B4" w:rsidRDefault="004C65B4" w:rsidP="00803B8A">
            <w:pPr>
              <w:spacing w:before="120" w:after="120"/>
              <w:rPr>
                <w:rFonts w:ascii="Verdana" w:hAnsi="Verdana"/>
                <w:b/>
                <w:sz w:val="18"/>
              </w:rPr>
            </w:pPr>
            <w:r>
              <w:rPr>
                <w:rFonts w:ascii="Verdana" w:hAnsi="Verdana"/>
                <w:b/>
                <w:noProof/>
                <w:sz w:val="18"/>
              </w:rPr>
              <w:drawing>
                <wp:inline distT="0" distB="0" distL="0" distR="0" wp14:anchorId="58E4A126" wp14:editId="56072304">
                  <wp:extent cx="213360" cy="213360"/>
                  <wp:effectExtent l="0" t="0" r="0" b="0"/>
                  <wp:docPr id="578491907" name="Picture 57849190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8-circled-r-9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13360" cy="213360"/>
                          </a:xfrm>
                          <a:prstGeom prst="rect">
                            <a:avLst/>
                          </a:prstGeom>
                        </pic:spPr>
                      </pic:pic>
                    </a:graphicData>
                  </a:graphic>
                </wp:inline>
              </w:drawing>
            </w:r>
          </w:p>
        </w:tc>
        <w:tc>
          <w:tcPr>
            <w:tcW w:w="1651" w:type="dxa"/>
          </w:tcPr>
          <w:p w14:paraId="40033365" w14:textId="25CD110A" w:rsidR="004C65B4" w:rsidRDefault="004C65B4" w:rsidP="00803B8A">
            <w:pPr>
              <w:spacing w:before="120" w:after="120"/>
              <w:rPr>
                <w:rFonts w:ascii="Verdana" w:hAnsi="Verdana"/>
                <w:b/>
                <w:sz w:val="18"/>
              </w:rPr>
            </w:pPr>
            <w:r>
              <w:rPr>
                <w:rFonts w:ascii="Verdana" w:hAnsi="Verdana"/>
                <w:b/>
                <w:sz w:val="18"/>
              </w:rPr>
              <w:t>ES 223</w:t>
            </w:r>
          </w:p>
        </w:tc>
        <w:tc>
          <w:tcPr>
            <w:tcW w:w="5450" w:type="dxa"/>
          </w:tcPr>
          <w:p w14:paraId="55D78E9E" w14:textId="46418306" w:rsidR="004C65B4" w:rsidRPr="0040523E" w:rsidRDefault="004C65B4" w:rsidP="00C33D23">
            <w:pPr>
              <w:spacing w:before="120" w:after="120"/>
              <w:rPr>
                <w:rFonts w:ascii="Verdana" w:hAnsi="Verdana"/>
                <w:sz w:val="18"/>
              </w:rPr>
            </w:pPr>
            <w:r w:rsidRPr="0040523E">
              <w:rPr>
                <w:rFonts w:ascii="Verdana" w:hAnsi="Verdana"/>
                <w:sz w:val="18"/>
              </w:rPr>
              <w:t xml:space="preserve">If an accredited </w:t>
            </w:r>
            <w:r>
              <w:rPr>
                <w:rFonts w:ascii="Verdana" w:hAnsi="Verdana"/>
                <w:sz w:val="18"/>
              </w:rPr>
              <w:t xml:space="preserve">data recipient </w:t>
            </w:r>
            <w:r w:rsidRPr="0040523E">
              <w:rPr>
                <w:rFonts w:ascii="Verdana" w:hAnsi="Verdana"/>
                <w:sz w:val="18"/>
              </w:rPr>
              <w:t>propose</w:t>
            </w:r>
            <w:r>
              <w:rPr>
                <w:rFonts w:ascii="Verdana" w:hAnsi="Verdana"/>
                <w:sz w:val="18"/>
              </w:rPr>
              <w:t>s</w:t>
            </w:r>
            <w:r w:rsidRPr="0040523E">
              <w:rPr>
                <w:rFonts w:ascii="Verdana" w:hAnsi="Verdana"/>
                <w:sz w:val="18"/>
              </w:rPr>
              <w:t xml:space="preserve"> to store CDR data other than in Australia or an</w:t>
            </w:r>
            <w:r>
              <w:rPr>
                <w:rFonts w:ascii="Verdana" w:hAnsi="Verdana"/>
                <w:sz w:val="18"/>
              </w:rPr>
              <w:t xml:space="preserve"> </w:t>
            </w:r>
            <w:r w:rsidRPr="0040523E">
              <w:rPr>
                <w:rFonts w:ascii="Verdana" w:hAnsi="Verdana"/>
                <w:sz w:val="18"/>
              </w:rPr>
              <w:t>external territory, its CDR policy must specify any country in which it proposes to</w:t>
            </w:r>
            <w:r>
              <w:rPr>
                <w:rFonts w:ascii="Verdana" w:hAnsi="Verdana"/>
                <w:sz w:val="18"/>
              </w:rPr>
              <w:t xml:space="preserve"> </w:t>
            </w:r>
            <w:r w:rsidRPr="0040523E">
              <w:rPr>
                <w:rFonts w:ascii="Verdana" w:hAnsi="Verdana"/>
                <w:sz w:val="18"/>
              </w:rPr>
              <w:t>store CDR data.</w:t>
            </w:r>
          </w:p>
        </w:tc>
        <w:tc>
          <w:tcPr>
            <w:tcW w:w="4467" w:type="dxa"/>
          </w:tcPr>
          <w:p w14:paraId="498736F0" w14:textId="62C09F88" w:rsidR="004C65B4" w:rsidRDefault="00D92606" w:rsidP="00C33D23">
            <w:pPr>
              <w:spacing w:before="120" w:after="120"/>
              <w:rPr>
                <w:rFonts w:ascii="Verdana" w:hAnsi="Verdana"/>
                <w:sz w:val="18"/>
              </w:rPr>
            </w:pPr>
            <w:r>
              <w:rPr>
                <w:rFonts w:ascii="Verdana" w:hAnsi="Verdana"/>
                <w:color w:val="231F20"/>
                <w:sz w:val="18"/>
              </w:rPr>
              <w:t>See comment for Rule 7.2(7)</w:t>
            </w:r>
          </w:p>
        </w:tc>
        <w:tc>
          <w:tcPr>
            <w:tcW w:w="1276" w:type="dxa"/>
            <w:shd w:val="clear" w:color="auto" w:fill="auto"/>
            <w:vAlign w:val="center"/>
          </w:tcPr>
          <w:p w14:paraId="63537279" w14:textId="0099D258" w:rsidR="004C65B4" w:rsidRPr="00791489" w:rsidRDefault="004C65B4" w:rsidP="00C33D23">
            <w:pPr>
              <w:spacing w:before="120" w:after="120"/>
              <w:jc w:val="center"/>
              <w:rPr>
                <w:rFonts w:ascii="Verdana" w:hAnsi="Verdana"/>
                <w:sz w:val="18"/>
              </w:rPr>
            </w:pPr>
          </w:p>
        </w:tc>
        <w:tc>
          <w:tcPr>
            <w:tcW w:w="1134" w:type="dxa"/>
            <w:shd w:val="clear" w:color="auto" w:fill="auto"/>
            <w:vAlign w:val="center"/>
          </w:tcPr>
          <w:p w14:paraId="7B43C845" w14:textId="55DFAA6C" w:rsidR="004C65B4" w:rsidRPr="00791489" w:rsidRDefault="004C65B4" w:rsidP="00C33D23">
            <w:pPr>
              <w:spacing w:before="120" w:after="120"/>
              <w:jc w:val="center"/>
              <w:rPr>
                <w:rFonts w:ascii="Verdana" w:hAnsi="Verdana"/>
                <w:sz w:val="18"/>
              </w:rPr>
            </w:pPr>
          </w:p>
        </w:tc>
      </w:tr>
    </w:tbl>
    <w:p w14:paraId="62A372F4" w14:textId="77777777" w:rsidR="00D442D3" w:rsidRPr="00791489" w:rsidRDefault="00D442D3" w:rsidP="005C640D">
      <w:pPr>
        <w:rPr>
          <w:rFonts w:ascii="Verdana" w:hAnsi="Verdana"/>
          <w:sz w:val="14"/>
          <w:lang w:val="en-US"/>
        </w:rPr>
      </w:pPr>
    </w:p>
    <w:sectPr w:rsidR="00D442D3" w:rsidRPr="00791489" w:rsidSect="005C640D">
      <w:pgSz w:w="16838" w:h="11906" w:orient="landscape"/>
      <w:pgMar w:top="709" w:right="993"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F010D" w14:textId="77777777" w:rsidR="00F11B31" w:rsidRDefault="00F11B31" w:rsidP="001401F1">
      <w:pPr>
        <w:spacing w:after="0" w:line="240" w:lineRule="auto"/>
      </w:pPr>
      <w:r>
        <w:separator/>
      </w:r>
    </w:p>
  </w:endnote>
  <w:endnote w:type="continuationSeparator" w:id="0">
    <w:p w14:paraId="5D2F5749" w14:textId="77777777" w:rsidR="00F11B31" w:rsidRDefault="00F11B31" w:rsidP="001401F1">
      <w:pPr>
        <w:spacing w:after="0" w:line="240" w:lineRule="auto"/>
      </w:pPr>
      <w:r>
        <w:continuationSeparator/>
      </w:r>
    </w:p>
  </w:endnote>
  <w:endnote w:type="continuationNotice" w:id="1">
    <w:p w14:paraId="033DB3C9" w14:textId="77777777" w:rsidR="00F11B31" w:rsidRDefault="00F11B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swiss"/>
    <w:notTrueType/>
    <w:pitch w:val="default"/>
    <w:sig w:usb0="00000003" w:usb1="00000000" w:usb2="00000000" w:usb3="00000000" w:csb0="00000001" w:csb1="00000000"/>
  </w:font>
  <w:font w:name="TimesNewRoman,Bold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330A9" w14:textId="77777777" w:rsidR="00472659" w:rsidRDefault="00472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613382"/>
      <w:docPartObj>
        <w:docPartGallery w:val="Page Numbers (Bottom of Page)"/>
        <w:docPartUnique/>
      </w:docPartObj>
    </w:sdtPr>
    <w:sdtContent>
      <w:sdt>
        <w:sdtPr>
          <w:id w:val="-1769616900"/>
          <w:docPartObj>
            <w:docPartGallery w:val="Page Numbers (Top of Page)"/>
            <w:docPartUnique/>
          </w:docPartObj>
        </w:sdtPr>
        <w:sdtContent>
          <w:p w14:paraId="775A5E1C" w14:textId="05AD8BB9" w:rsidR="00472659" w:rsidRDefault="0047265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1D096BE2" w14:textId="77777777" w:rsidR="00472659" w:rsidRDefault="00472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4E23" w14:textId="77777777" w:rsidR="00472659" w:rsidRDefault="00472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9341" w14:textId="77777777" w:rsidR="00F11B31" w:rsidRDefault="00F11B31" w:rsidP="001401F1">
      <w:pPr>
        <w:spacing w:after="0" w:line="240" w:lineRule="auto"/>
      </w:pPr>
      <w:r>
        <w:separator/>
      </w:r>
    </w:p>
  </w:footnote>
  <w:footnote w:type="continuationSeparator" w:id="0">
    <w:p w14:paraId="0607F00B" w14:textId="77777777" w:rsidR="00F11B31" w:rsidRDefault="00F11B31" w:rsidP="001401F1">
      <w:pPr>
        <w:spacing w:after="0" w:line="240" w:lineRule="auto"/>
      </w:pPr>
      <w:r>
        <w:continuationSeparator/>
      </w:r>
    </w:p>
  </w:footnote>
  <w:footnote w:type="continuationNotice" w:id="1">
    <w:p w14:paraId="3AA3055C" w14:textId="77777777" w:rsidR="00F11B31" w:rsidRDefault="00F11B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C62F" w14:textId="77777777" w:rsidR="00472659" w:rsidRDefault="00472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288C" w14:textId="77777777" w:rsidR="00472659" w:rsidRDefault="004726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6CA4" w14:textId="77777777" w:rsidR="00472659" w:rsidRDefault="00472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5E1"/>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E72736"/>
    <w:multiLevelType w:val="hybridMultilevel"/>
    <w:tmpl w:val="233061BA"/>
    <w:lvl w:ilvl="0" w:tplc="2D86E3F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010969"/>
    <w:multiLevelType w:val="hybridMultilevel"/>
    <w:tmpl w:val="489AC2C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9216536"/>
    <w:multiLevelType w:val="multilevel"/>
    <w:tmpl w:val="4F62E7BC"/>
    <w:lvl w:ilvl="0">
      <w:start w:val="7"/>
      <w:numFmt w:val="decimal"/>
      <w:lvlText w:val="%1"/>
      <w:lvlJc w:val="left"/>
      <w:pPr>
        <w:ind w:left="1686" w:hanging="386"/>
      </w:pPr>
      <w:rPr>
        <w:rFonts w:hint="default"/>
      </w:rPr>
    </w:lvl>
    <w:lvl w:ilvl="1">
      <w:start w:val="2"/>
      <w:numFmt w:val="decimal"/>
      <w:lvlText w:val="%1.%2"/>
      <w:lvlJc w:val="left"/>
      <w:pPr>
        <w:ind w:left="1686" w:hanging="386"/>
      </w:pPr>
      <w:rPr>
        <w:rFonts w:ascii="Times New Roman" w:eastAsia="Times New Roman" w:hAnsi="Times New Roman" w:cs="Times New Roman" w:hint="default"/>
        <w:b/>
        <w:bCs/>
        <w:color w:val="231F20"/>
        <w:spacing w:val="-1"/>
        <w:w w:val="99"/>
        <w:sz w:val="22"/>
        <w:szCs w:val="22"/>
      </w:rPr>
    </w:lvl>
    <w:lvl w:ilvl="2">
      <w:start w:val="1"/>
      <w:numFmt w:val="decimal"/>
      <w:lvlText w:val="(%3)"/>
      <w:lvlJc w:val="left"/>
      <w:pPr>
        <w:ind w:left="1686" w:hanging="338"/>
      </w:pPr>
      <w:rPr>
        <w:rFonts w:ascii="Times New Roman" w:eastAsia="Times New Roman" w:hAnsi="Times New Roman" w:cs="Times New Roman" w:hint="default"/>
        <w:color w:val="231F20"/>
        <w:spacing w:val="-1"/>
        <w:w w:val="100"/>
        <w:sz w:val="20"/>
        <w:szCs w:val="20"/>
      </w:rPr>
    </w:lvl>
    <w:lvl w:ilvl="3">
      <w:start w:val="1"/>
      <w:numFmt w:val="lowerLetter"/>
      <w:lvlText w:val="(%4)"/>
      <w:lvlJc w:val="left"/>
      <w:pPr>
        <w:ind w:left="2153" w:hanging="326"/>
      </w:pPr>
      <w:rPr>
        <w:rFonts w:ascii="Times New Roman" w:eastAsia="Times New Roman" w:hAnsi="Times New Roman" w:cs="Times New Roman" w:hint="default"/>
        <w:color w:val="231F20"/>
        <w:spacing w:val="-1"/>
        <w:w w:val="100"/>
        <w:sz w:val="20"/>
        <w:szCs w:val="20"/>
      </w:rPr>
    </w:lvl>
    <w:lvl w:ilvl="4">
      <w:start w:val="1"/>
      <w:numFmt w:val="lowerRoman"/>
      <w:lvlText w:val="(%5)"/>
      <w:lvlJc w:val="left"/>
      <w:pPr>
        <w:ind w:left="2568" w:hanging="293"/>
      </w:pPr>
      <w:rPr>
        <w:rFonts w:ascii="Times New Roman" w:eastAsia="Times New Roman" w:hAnsi="Times New Roman" w:cs="Times New Roman" w:hint="default"/>
        <w:color w:val="231F20"/>
        <w:spacing w:val="-1"/>
        <w:w w:val="100"/>
        <w:sz w:val="20"/>
        <w:szCs w:val="20"/>
      </w:rPr>
    </w:lvl>
    <w:lvl w:ilvl="5">
      <w:numFmt w:val="bullet"/>
      <w:lvlText w:val="•"/>
      <w:lvlJc w:val="left"/>
      <w:pPr>
        <w:ind w:left="4939" w:hanging="293"/>
      </w:pPr>
      <w:rPr>
        <w:rFonts w:hint="default"/>
      </w:rPr>
    </w:lvl>
    <w:lvl w:ilvl="6">
      <w:numFmt w:val="bullet"/>
      <w:lvlText w:val="•"/>
      <w:lvlJc w:val="left"/>
      <w:pPr>
        <w:ind w:left="5732" w:hanging="293"/>
      </w:pPr>
      <w:rPr>
        <w:rFonts w:hint="default"/>
      </w:rPr>
    </w:lvl>
    <w:lvl w:ilvl="7">
      <w:numFmt w:val="bullet"/>
      <w:lvlText w:val="•"/>
      <w:lvlJc w:val="left"/>
      <w:pPr>
        <w:ind w:left="6525" w:hanging="293"/>
      </w:pPr>
      <w:rPr>
        <w:rFonts w:hint="default"/>
      </w:rPr>
    </w:lvl>
    <w:lvl w:ilvl="8">
      <w:numFmt w:val="bullet"/>
      <w:lvlText w:val="•"/>
      <w:lvlJc w:val="left"/>
      <w:pPr>
        <w:ind w:left="7318" w:hanging="293"/>
      </w:pPr>
      <w:rPr>
        <w:rFonts w:hint="default"/>
      </w:rPr>
    </w:lvl>
  </w:abstractNum>
  <w:abstractNum w:abstractNumId="4" w15:restartNumberingAfterBreak="0">
    <w:nsid w:val="094428C0"/>
    <w:multiLevelType w:val="hybridMultilevel"/>
    <w:tmpl w:val="9BD2749A"/>
    <w:lvl w:ilvl="0" w:tplc="CA387F00">
      <w:start w:val="1"/>
      <w:numFmt w:val="lowerRoman"/>
      <w:lvlText w:val="(%1)"/>
      <w:lvlJc w:val="left"/>
      <w:pPr>
        <w:ind w:left="1080" w:hanging="720"/>
      </w:pPr>
      <w:rPr>
        <w:rFonts w:ascii="Verdana" w:eastAsiaTheme="minorHAnsi" w:hAnsi="Verdana"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5138EA"/>
    <w:multiLevelType w:val="multilevel"/>
    <w:tmpl w:val="4F62E7BC"/>
    <w:lvl w:ilvl="0">
      <w:start w:val="7"/>
      <w:numFmt w:val="decimal"/>
      <w:lvlText w:val="%1"/>
      <w:lvlJc w:val="left"/>
      <w:pPr>
        <w:ind w:left="1686" w:hanging="386"/>
      </w:pPr>
      <w:rPr>
        <w:rFonts w:hint="default"/>
      </w:rPr>
    </w:lvl>
    <w:lvl w:ilvl="1">
      <w:start w:val="2"/>
      <w:numFmt w:val="decimal"/>
      <w:lvlText w:val="%1.%2"/>
      <w:lvlJc w:val="left"/>
      <w:pPr>
        <w:ind w:left="1686" w:hanging="386"/>
      </w:pPr>
      <w:rPr>
        <w:rFonts w:ascii="Times New Roman" w:eastAsia="Times New Roman" w:hAnsi="Times New Roman" w:cs="Times New Roman" w:hint="default"/>
        <w:b/>
        <w:bCs/>
        <w:color w:val="231F20"/>
        <w:spacing w:val="-1"/>
        <w:w w:val="99"/>
        <w:sz w:val="22"/>
        <w:szCs w:val="22"/>
      </w:rPr>
    </w:lvl>
    <w:lvl w:ilvl="2">
      <w:start w:val="1"/>
      <w:numFmt w:val="decimal"/>
      <w:lvlText w:val="(%3)"/>
      <w:lvlJc w:val="left"/>
      <w:pPr>
        <w:ind w:left="1686" w:hanging="338"/>
      </w:pPr>
      <w:rPr>
        <w:rFonts w:ascii="Times New Roman" w:eastAsia="Times New Roman" w:hAnsi="Times New Roman" w:cs="Times New Roman" w:hint="default"/>
        <w:color w:val="231F20"/>
        <w:spacing w:val="-1"/>
        <w:w w:val="100"/>
        <w:sz w:val="20"/>
        <w:szCs w:val="20"/>
      </w:rPr>
    </w:lvl>
    <w:lvl w:ilvl="3">
      <w:start w:val="1"/>
      <w:numFmt w:val="lowerLetter"/>
      <w:lvlText w:val="(%4)"/>
      <w:lvlJc w:val="left"/>
      <w:pPr>
        <w:ind w:left="2153" w:hanging="326"/>
      </w:pPr>
      <w:rPr>
        <w:rFonts w:ascii="Times New Roman" w:eastAsia="Times New Roman" w:hAnsi="Times New Roman" w:cs="Times New Roman" w:hint="default"/>
        <w:color w:val="231F20"/>
        <w:spacing w:val="-1"/>
        <w:w w:val="100"/>
        <w:sz w:val="20"/>
        <w:szCs w:val="20"/>
      </w:rPr>
    </w:lvl>
    <w:lvl w:ilvl="4">
      <w:start w:val="1"/>
      <w:numFmt w:val="lowerRoman"/>
      <w:lvlText w:val="(%5)"/>
      <w:lvlJc w:val="left"/>
      <w:pPr>
        <w:ind w:left="2568" w:hanging="293"/>
      </w:pPr>
      <w:rPr>
        <w:rFonts w:ascii="Times New Roman" w:eastAsia="Times New Roman" w:hAnsi="Times New Roman" w:cs="Times New Roman" w:hint="default"/>
        <w:color w:val="231F20"/>
        <w:spacing w:val="-1"/>
        <w:w w:val="100"/>
        <w:sz w:val="20"/>
        <w:szCs w:val="20"/>
      </w:rPr>
    </w:lvl>
    <w:lvl w:ilvl="5">
      <w:numFmt w:val="bullet"/>
      <w:lvlText w:val="•"/>
      <w:lvlJc w:val="left"/>
      <w:pPr>
        <w:ind w:left="4939" w:hanging="293"/>
      </w:pPr>
      <w:rPr>
        <w:rFonts w:hint="default"/>
      </w:rPr>
    </w:lvl>
    <w:lvl w:ilvl="6">
      <w:numFmt w:val="bullet"/>
      <w:lvlText w:val="•"/>
      <w:lvlJc w:val="left"/>
      <w:pPr>
        <w:ind w:left="5732" w:hanging="293"/>
      </w:pPr>
      <w:rPr>
        <w:rFonts w:hint="default"/>
      </w:rPr>
    </w:lvl>
    <w:lvl w:ilvl="7">
      <w:numFmt w:val="bullet"/>
      <w:lvlText w:val="•"/>
      <w:lvlJc w:val="left"/>
      <w:pPr>
        <w:ind w:left="6525" w:hanging="293"/>
      </w:pPr>
      <w:rPr>
        <w:rFonts w:hint="default"/>
      </w:rPr>
    </w:lvl>
    <w:lvl w:ilvl="8">
      <w:numFmt w:val="bullet"/>
      <w:lvlText w:val="•"/>
      <w:lvlJc w:val="left"/>
      <w:pPr>
        <w:ind w:left="7318" w:hanging="293"/>
      </w:pPr>
      <w:rPr>
        <w:rFonts w:hint="default"/>
      </w:rPr>
    </w:lvl>
  </w:abstractNum>
  <w:abstractNum w:abstractNumId="6" w15:restartNumberingAfterBreak="0">
    <w:nsid w:val="0DBF0B22"/>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DD2542B"/>
    <w:multiLevelType w:val="hybridMultilevel"/>
    <w:tmpl w:val="7C60E1FC"/>
    <w:lvl w:ilvl="0" w:tplc="021E8868">
      <w:start w:val="1"/>
      <w:numFmt w:val="decimal"/>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370B89"/>
    <w:multiLevelType w:val="multilevel"/>
    <w:tmpl w:val="4F62E7BC"/>
    <w:lvl w:ilvl="0">
      <w:start w:val="7"/>
      <w:numFmt w:val="decimal"/>
      <w:lvlText w:val="%1"/>
      <w:lvlJc w:val="left"/>
      <w:pPr>
        <w:ind w:left="1686" w:hanging="386"/>
      </w:pPr>
      <w:rPr>
        <w:rFonts w:hint="default"/>
      </w:rPr>
    </w:lvl>
    <w:lvl w:ilvl="1">
      <w:start w:val="2"/>
      <w:numFmt w:val="decimal"/>
      <w:lvlText w:val="%1.%2"/>
      <w:lvlJc w:val="left"/>
      <w:pPr>
        <w:ind w:left="1686" w:hanging="386"/>
      </w:pPr>
      <w:rPr>
        <w:rFonts w:ascii="Times New Roman" w:eastAsia="Times New Roman" w:hAnsi="Times New Roman" w:cs="Times New Roman" w:hint="default"/>
        <w:b/>
        <w:bCs/>
        <w:color w:val="231F20"/>
        <w:spacing w:val="-1"/>
        <w:w w:val="99"/>
        <w:sz w:val="22"/>
        <w:szCs w:val="22"/>
      </w:rPr>
    </w:lvl>
    <w:lvl w:ilvl="2">
      <w:start w:val="1"/>
      <w:numFmt w:val="decimal"/>
      <w:lvlText w:val="(%3)"/>
      <w:lvlJc w:val="left"/>
      <w:pPr>
        <w:ind w:left="1686" w:hanging="338"/>
      </w:pPr>
      <w:rPr>
        <w:rFonts w:ascii="Times New Roman" w:eastAsia="Times New Roman" w:hAnsi="Times New Roman" w:cs="Times New Roman" w:hint="default"/>
        <w:color w:val="231F20"/>
        <w:spacing w:val="-1"/>
        <w:w w:val="100"/>
        <w:sz w:val="20"/>
        <w:szCs w:val="20"/>
      </w:rPr>
    </w:lvl>
    <w:lvl w:ilvl="3">
      <w:start w:val="1"/>
      <w:numFmt w:val="lowerLetter"/>
      <w:lvlText w:val="(%4)"/>
      <w:lvlJc w:val="left"/>
      <w:pPr>
        <w:ind w:left="2153" w:hanging="326"/>
      </w:pPr>
      <w:rPr>
        <w:rFonts w:ascii="Times New Roman" w:eastAsia="Times New Roman" w:hAnsi="Times New Roman" w:cs="Times New Roman" w:hint="default"/>
        <w:color w:val="231F20"/>
        <w:spacing w:val="-1"/>
        <w:w w:val="100"/>
        <w:sz w:val="20"/>
        <w:szCs w:val="20"/>
      </w:rPr>
    </w:lvl>
    <w:lvl w:ilvl="4">
      <w:start w:val="1"/>
      <w:numFmt w:val="lowerRoman"/>
      <w:lvlText w:val="(%5)"/>
      <w:lvlJc w:val="left"/>
      <w:pPr>
        <w:ind w:left="2568" w:hanging="293"/>
      </w:pPr>
      <w:rPr>
        <w:rFonts w:ascii="Times New Roman" w:eastAsia="Times New Roman" w:hAnsi="Times New Roman" w:cs="Times New Roman" w:hint="default"/>
        <w:color w:val="231F20"/>
        <w:spacing w:val="-1"/>
        <w:w w:val="100"/>
        <w:sz w:val="20"/>
        <w:szCs w:val="20"/>
      </w:rPr>
    </w:lvl>
    <w:lvl w:ilvl="5">
      <w:numFmt w:val="bullet"/>
      <w:lvlText w:val="•"/>
      <w:lvlJc w:val="left"/>
      <w:pPr>
        <w:ind w:left="4939" w:hanging="293"/>
      </w:pPr>
      <w:rPr>
        <w:rFonts w:hint="default"/>
      </w:rPr>
    </w:lvl>
    <w:lvl w:ilvl="6">
      <w:numFmt w:val="bullet"/>
      <w:lvlText w:val="•"/>
      <w:lvlJc w:val="left"/>
      <w:pPr>
        <w:ind w:left="5732" w:hanging="293"/>
      </w:pPr>
      <w:rPr>
        <w:rFonts w:hint="default"/>
      </w:rPr>
    </w:lvl>
    <w:lvl w:ilvl="7">
      <w:numFmt w:val="bullet"/>
      <w:lvlText w:val="•"/>
      <w:lvlJc w:val="left"/>
      <w:pPr>
        <w:ind w:left="6525" w:hanging="293"/>
      </w:pPr>
      <w:rPr>
        <w:rFonts w:hint="default"/>
      </w:rPr>
    </w:lvl>
    <w:lvl w:ilvl="8">
      <w:numFmt w:val="bullet"/>
      <w:lvlText w:val="•"/>
      <w:lvlJc w:val="left"/>
      <w:pPr>
        <w:ind w:left="7318" w:hanging="293"/>
      </w:pPr>
      <w:rPr>
        <w:rFonts w:hint="default"/>
      </w:rPr>
    </w:lvl>
  </w:abstractNum>
  <w:abstractNum w:abstractNumId="9" w15:restartNumberingAfterBreak="0">
    <w:nsid w:val="128E0C33"/>
    <w:multiLevelType w:val="hybridMultilevel"/>
    <w:tmpl w:val="233061BA"/>
    <w:lvl w:ilvl="0" w:tplc="2D86E3F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420447A"/>
    <w:multiLevelType w:val="multilevel"/>
    <w:tmpl w:val="4F62E7BC"/>
    <w:lvl w:ilvl="0">
      <w:start w:val="7"/>
      <w:numFmt w:val="decimal"/>
      <w:lvlText w:val="%1"/>
      <w:lvlJc w:val="left"/>
      <w:pPr>
        <w:ind w:left="1686" w:hanging="386"/>
      </w:pPr>
      <w:rPr>
        <w:rFonts w:hint="default"/>
      </w:rPr>
    </w:lvl>
    <w:lvl w:ilvl="1">
      <w:start w:val="2"/>
      <w:numFmt w:val="decimal"/>
      <w:lvlText w:val="%1.%2"/>
      <w:lvlJc w:val="left"/>
      <w:pPr>
        <w:ind w:left="1686" w:hanging="386"/>
      </w:pPr>
      <w:rPr>
        <w:rFonts w:ascii="Times New Roman" w:eastAsia="Times New Roman" w:hAnsi="Times New Roman" w:cs="Times New Roman" w:hint="default"/>
        <w:b/>
        <w:bCs/>
        <w:color w:val="231F20"/>
        <w:spacing w:val="-1"/>
        <w:w w:val="99"/>
        <w:sz w:val="22"/>
        <w:szCs w:val="22"/>
      </w:rPr>
    </w:lvl>
    <w:lvl w:ilvl="2">
      <w:start w:val="1"/>
      <w:numFmt w:val="decimal"/>
      <w:lvlText w:val="(%3)"/>
      <w:lvlJc w:val="left"/>
      <w:pPr>
        <w:ind w:left="1686" w:hanging="338"/>
      </w:pPr>
      <w:rPr>
        <w:rFonts w:ascii="Times New Roman" w:eastAsia="Times New Roman" w:hAnsi="Times New Roman" w:cs="Times New Roman" w:hint="default"/>
        <w:color w:val="231F20"/>
        <w:spacing w:val="-1"/>
        <w:w w:val="100"/>
        <w:sz w:val="20"/>
        <w:szCs w:val="20"/>
      </w:rPr>
    </w:lvl>
    <w:lvl w:ilvl="3">
      <w:start w:val="1"/>
      <w:numFmt w:val="lowerLetter"/>
      <w:lvlText w:val="(%4)"/>
      <w:lvlJc w:val="left"/>
      <w:pPr>
        <w:ind w:left="2153" w:hanging="326"/>
      </w:pPr>
      <w:rPr>
        <w:rFonts w:ascii="Times New Roman" w:eastAsia="Times New Roman" w:hAnsi="Times New Roman" w:cs="Times New Roman" w:hint="default"/>
        <w:color w:val="231F20"/>
        <w:spacing w:val="-1"/>
        <w:w w:val="100"/>
        <w:sz w:val="20"/>
        <w:szCs w:val="20"/>
      </w:rPr>
    </w:lvl>
    <w:lvl w:ilvl="4">
      <w:start w:val="1"/>
      <w:numFmt w:val="lowerRoman"/>
      <w:lvlText w:val="(%5)"/>
      <w:lvlJc w:val="left"/>
      <w:pPr>
        <w:ind w:left="2568" w:hanging="293"/>
      </w:pPr>
      <w:rPr>
        <w:rFonts w:ascii="Times New Roman" w:eastAsia="Times New Roman" w:hAnsi="Times New Roman" w:cs="Times New Roman" w:hint="default"/>
        <w:color w:val="231F20"/>
        <w:spacing w:val="-1"/>
        <w:w w:val="100"/>
        <w:sz w:val="20"/>
        <w:szCs w:val="20"/>
      </w:rPr>
    </w:lvl>
    <w:lvl w:ilvl="5">
      <w:numFmt w:val="bullet"/>
      <w:lvlText w:val="•"/>
      <w:lvlJc w:val="left"/>
      <w:pPr>
        <w:ind w:left="4939" w:hanging="293"/>
      </w:pPr>
      <w:rPr>
        <w:rFonts w:hint="default"/>
      </w:rPr>
    </w:lvl>
    <w:lvl w:ilvl="6">
      <w:numFmt w:val="bullet"/>
      <w:lvlText w:val="•"/>
      <w:lvlJc w:val="left"/>
      <w:pPr>
        <w:ind w:left="5732" w:hanging="293"/>
      </w:pPr>
      <w:rPr>
        <w:rFonts w:hint="default"/>
      </w:rPr>
    </w:lvl>
    <w:lvl w:ilvl="7">
      <w:numFmt w:val="bullet"/>
      <w:lvlText w:val="•"/>
      <w:lvlJc w:val="left"/>
      <w:pPr>
        <w:ind w:left="6525" w:hanging="293"/>
      </w:pPr>
      <w:rPr>
        <w:rFonts w:hint="default"/>
      </w:rPr>
    </w:lvl>
    <w:lvl w:ilvl="8">
      <w:numFmt w:val="bullet"/>
      <w:lvlText w:val="•"/>
      <w:lvlJc w:val="left"/>
      <w:pPr>
        <w:ind w:left="7318" w:hanging="293"/>
      </w:pPr>
      <w:rPr>
        <w:rFonts w:hint="default"/>
      </w:rPr>
    </w:lvl>
  </w:abstractNum>
  <w:abstractNum w:abstractNumId="11" w15:restartNumberingAfterBreak="0">
    <w:nsid w:val="191D19B0"/>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B37AC0"/>
    <w:multiLevelType w:val="hybridMultilevel"/>
    <w:tmpl w:val="1D769BA6"/>
    <w:lvl w:ilvl="0" w:tplc="1D441C4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DDB08B9"/>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10A2827"/>
    <w:multiLevelType w:val="hybridMultilevel"/>
    <w:tmpl w:val="26AE36B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2A36E92"/>
    <w:multiLevelType w:val="hybridMultilevel"/>
    <w:tmpl w:val="FF40DFFA"/>
    <w:lvl w:ilvl="0" w:tplc="B06EDF3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3814AE"/>
    <w:multiLevelType w:val="hybridMultilevel"/>
    <w:tmpl w:val="233061BA"/>
    <w:lvl w:ilvl="0" w:tplc="2D86E3F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63B68DC"/>
    <w:multiLevelType w:val="hybridMultilevel"/>
    <w:tmpl w:val="4ED0DB3E"/>
    <w:lvl w:ilvl="0" w:tplc="219CE3F2">
      <w:start w:val="1"/>
      <w:numFmt w:val="lowerRoman"/>
      <w:lvlText w:val="(%1)"/>
      <w:lvlJc w:val="left"/>
      <w:pPr>
        <w:ind w:left="567" w:hanging="567"/>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81A2C91"/>
    <w:multiLevelType w:val="hybridMultilevel"/>
    <w:tmpl w:val="0A641436"/>
    <w:lvl w:ilvl="0" w:tplc="1BDE8D8C">
      <w:start w:val="1"/>
      <w:numFmt w:val="lowerLetter"/>
      <w:lvlText w:val="(%1)"/>
      <w:lvlJc w:val="left"/>
      <w:pPr>
        <w:ind w:left="454"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237BCA"/>
    <w:multiLevelType w:val="hybridMultilevel"/>
    <w:tmpl w:val="0750E9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653FA7"/>
    <w:multiLevelType w:val="hybridMultilevel"/>
    <w:tmpl w:val="3E6E59AE"/>
    <w:lvl w:ilvl="0" w:tplc="1F7E849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2292E"/>
    <w:multiLevelType w:val="hybridMultilevel"/>
    <w:tmpl w:val="CDD624DC"/>
    <w:lvl w:ilvl="0" w:tplc="1BDE8D8C">
      <w:start w:val="1"/>
      <w:numFmt w:val="lowerLetter"/>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2F8A7923"/>
    <w:multiLevelType w:val="hybridMultilevel"/>
    <w:tmpl w:val="BFBC3A74"/>
    <w:lvl w:ilvl="0" w:tplc="36805C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1E557F4"/>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22F0065"/>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9251208"/>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06F20EC"/>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0E25826"/>
    <w:multiLevelType w:val="hybridMultilevel"/>
    <w:tmpl w:val="F6D05052"/>
    <w:lvl w:ilvl="0" w:tplc="0C09000F">
      <w:start w:val="1"/>
      <w:numFmt w:val="decimal"/>
      <w:lvlText w:val="%1."/>
      <w:lvlJc w:val="left"/>
      <w:pPr>
        <w:ind w:left="454" w:hanging="4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9C7BBE"/>
    <w:multiLevelType w:val="multilevel"/>
    <w:tmpl w:val="4F62E7BC"/>
    <w:lvl w:ilvl="0">
      <w:start w:val="7"/>
      <w:numFmt w:val="decimal"/>
      <w:lvlText w:val="%1"/>
      <w:lvlJc w:val="left"/>
      <w:pPr>
        <w:ind w:left="1686" w:hanging="386"/>
      </w:pPr>
      <w:rPr>
        <w:rFonts w:hint="default"/>
      </w:rPr>
    </w:lvl>
    <w:lvl w:ilvl="1">
      <w:start w:val="2"/>
      <w:numFmt w:val="decimal"/>
      <w:lvlText w:val="%1.%2"/>
      <w:lvlJc w:val="left"/>
      <w:pPr>
        <w:ind w:left="1686" w:hanging="386"/>
      </w:pPr>
      <w:rPr>
        <w:rFonts w:ascii="Times New Roman" w:eastAsia="Times New Roman" w:hAnsi="Times New Roman" w:cs="Times New Roman" w:hint="default"/>
        <w:b/>
        <w:bCs/>
        <w:color w:val="231F20"/>
        <w:spacing w:val="-1"/>
        <w:w w:val="99"/>
        <w:sz w:val="22"/>
        <w:szCs w:val="22"/>
      </w:rPr>
    </w:lvl>
    <w:lvl w:ilvl="2">
      <w:start w:val="1"/>
      <w:numFmt w:val="decimal"/>
      <w:lvlText w:val="(%3)"/>
      <w:lvlJc w:val="left"/>
      <w:pPr>
        <w:ind w:left="1686" w:hanging="338"/>
      </w:pPr>
      <w:rPr>
        <w:rFonts w:ascii="Times New Roman" w:eastAsia="Times New Roman" w:hAnsi="Times New Roman" w:cs="Times New Roman" w:hint="default"/>
        <w:color w:val="231F20"/>
        <w:spacing w:val="-1"/>
        <w:w w:val="100"/>
        <w:sz w:val="20"/>
        <w:szCs w:val="20"/>
      </w:rPr>
    </w:lvl>
    <w:lvl w:ilvl="3">
      <w:start w:val="1"/>
      <w:numFmt w:val="lowerLetter"/>
      <w:lvlText w:val="(%4)"/>
      <w:lvlJc w:val="left"/>
      <w:pPr>
        <w:ind w:left="2153" w:hanging="326"/>
      </w:pPr>
      <w:rPr>
        <w:rFonts w:ascii="Times New Roman" w:eastAsia="Times New Roman" w:hAnsi="Times New Roman" w:cs="Times New Roman" w:hint="default"/>
        <w:color w:val="231F20"/>
        <w:spacing w:val="-1"/>
        <w:w w:val="100"/>
        <w:sz w:val="20"/>
        <w:szCs w:val="20"/>
      </w:rPr>
    </w:lvl>
    <w:lvl w:ilvl="4">
      <w:start w:val="1"/>
      <w:numFmt w:val="lowerRoman"/>
      <w:lvlText w:val="(%5)"/>
      <w:lvlJc w:val="left"/>
      <w:pPr>
        <w:ind w:left="2568" w:hanging="293"/>
      </w:pPr>
      <w:rPr>
        <w:rFonts w:ascii="Times New Roman" w:eastAsia="Times New Roman" w:hAnsi="Times New Roman" w:cs="Times New Roman" w:hint="default"/>
        <w:color w:val="231F20"/>
        <w:spacing w:val="-1"/>
        <w:w w:val="100"/>
        <w:sz w:val="20"/>
        <w:szCs w:val="20"/>
      </w:rPr>
    </w:lvl>
    <w:lvl w:ilvl="5">
      <w:numFmt w:val="bullet"/>
      <w:lvlText w:val="•"/>
      <w:lvlJc w:val="left"/>
      <w:pPr>
        <w:ind w:left="4939" w:hanging="293"/>
      </w:pPr>
      <w:rPr>
        <w:rFonts w:hint="default"/>
      </w:rPr>
    </w:lvl>
    <w:lvl w:ilvl="6">
      <w:numFmt w:val="bullet"/>
      <w:lvlText w:val="•"/>
      <w:lvlJc w:val="left"/>
      <w:pPr>
        <w:ind w:left="5732" w:hanging="293"/>
      </w:pPr>
      <w:rPr>
        <w:rFonts w:hint="default"/>
      </w:rPr>
    </w:lvl>
    <w:lvl w:ilvl="7">
      <w:numFmt w:val="bullet"/>
      <w:lvlText w:val="•"/>
      <w:lvlJc w:val="left"/>
      <w:pPr>
        <w:ind w:left="6525" w:hanging="293"/>
      </w:pPr>
      <w:rPr>
        <w:rFonts w:hint="default"/>
      </w:rPr>
    </w:lvl>
    <w:lvl w:ilvl="8">
      <w:numFmt w:val="bullet"/>
      <w:lvlText w:val="•"/>
      <w:lvlJc w:val="left"/>
      <w:pPr>
        <w:ind w:left="7318" w:hanging="293"/>
      </w:pPr>
      <w:rPr>
        <w:rFonts w:hint="default"/>
      </w:rPr>
    </w:lvl>
  </w:abstractNum>
  <w:abstractNum w:abstractNumId="29" w15:restartNumberingAfterBreak="0">
    <w:nsid w:val="47ED0530"/>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B042D3C"/>
    <w:multiLevelType w:val="hybridMultilevel"/>
    <w:tmpl w:val="258A7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C88355C"/>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F3C6CAC"/>
    <w:multiLevelType w:val="multilevel"/>
    <w:tmpl w:val="4F62E7BC"/>
    <w:lvl w:ilvl="0">
      <w:start w:val="7"/>
      <w:numFmt w:val="decimal"/>
      <w:lvlText w:val="%1"/>
      <w:lvlJc w:val="left"/>
      <w:pPr>
        <w:ind w:left="1686" w:hanging="386"/>
      </w:pPr>
      <w:rPr>
        <w:rFonts w:hint="default"/>
      </w:rPr>
    </w:lvl>
    <w:lvl w:ilvl="1">
      <w:start w:val="2"/>
      <w:numFmt w:val="decimal"/>
      <w:lvlText w:val="%1.%2"/>
      <w:lvlJc w:val="left"/>
      <w:pPr>
        <w:ind w:left="1686" w:hanging="386"/>
      </w:pPr>
      <w:rPr>
        <w:rFonts w:ascii="Times New Roman" w:eastAsia="Times New Roman" w:hAnsi="Times New Roman" w:cs="Times New Roman" w:hint="default"/>
        <w:b/>
        <w:bCs/>
        <w:color w:val="231F20"/>
        <w:spacing w:val="-1"/>
        <w:w w:val="99"/>
        <w:sz w:val="22"/>
        <w:szCs w:val="22"/>
      </w:rPr>
    </w:lvl>
    <w:lvl w:ilvl="2">
      <w:start w:val="1"/>
      <w:numFmt w:val="decimal"/>
      <w:lvlText w:val="(%3)"/>
      <w:lvlJc w:val="left"/>
      <w:pPr>
        <w:ind w:left="1686" w:hanging="338"/>
      </w:pPr>
      <w:rPr>
        <w:rFonts w:ascii="Times New Roman" w:eastAsia="Times New Roman" w:hAnsi="Times New Roman" w:cs="Times New Roman" w:hint="default"/>
        <w:color w:val="231F20"/>
        <w:spacing w:val="-1"/>
        <w:w w:val="100"/>
        <w:sz w:val="20"/>
        <w:szCs w:val="20"/>
      </w:rPr>
    </w:lvl>
    <w:lvl w:ilvl="3">
      <w:start w:val="1"/>
      <w:numFmt w:val="lowerLetter"/>
      <w:lvlText w:val="(%4)"/>
      <w:lvlJc w:val="left"/>
      <w:pPr>
        <w:ind w:left="2153" w:hanging="326"/>
      </w:pPr>
      <w:rPr>
        <w:rFonts w:ascii="Times New Roman" w:eastAsia="Times New Roman" w:hAnsi="Times New Roman" w:cs="Times New Roman" w:hint="default"/>
        <w:color w:val="231F20"/>
        <w:spacing w:val="-1"/>
        <w:w w:val="100"/>
        <w:sz w:val="20"/>
        <w:szCs w:val="20"/>
      </w:rPr>
    </w:lvl>
    <w:lvl w:ilvl="4">
      <w:start w:val="1"/>
      <w:numFmt w:val="lowerRoman"/>
      <w:lvlText w:val="(%5)"/>
      <w:lvlJc w:val="left"/>
      <w:pPr>
        <w:ind w:left="2568" w:hanging="293"/>
      </w:pPr>
      <w:rPr>
        <w:rFonts w:ascii="Times New Roman" w:eastAsia="Times New Roman" w:hAnsi="Times New Roman" w:cs="Times New Roman" w:hint="default"/>
        <w:color w:val="231F20"/>
        <w:spacing w:val="-1"/>
        <w:w w:val="100"/>
        <w:sz w:val="20"/>
        <w:szCs w:val="20"/>
      </w:rPr>
    </w:lvl>
    <w:lvl w:ilvl="5">
      <w:numFmt w:val="bullet"/>
      <w:lvlText w:val="•"/>
      <w:lvlJc w:val="left"/>
      <w:pPr>
        <w:ind w:left="4939" w:hanging="293"/>
      </w:pPr>
      <w:rPr>
        <w:rFonts w:hint="default"/>
      </w:rPr>
    </w:lvl>
    <w:lvl w:ilvl="6">
      <w:numFmt w:val="bullet"/>
      <w:lvlText w:val="•"/>
      <w:lvlJc w:val="left"/>
      <w:pPr>
        <w:ind w:left="5732" w:hanging="293"/>
      </w:pPr>
      <w:rPr>
        <w:rFonts w:hint="default"/>
      </w:rPr>
    </w:lvl>
    <w:lvl w:ilvl="7">
      <w:numFmt w:val="bullet"/>
      <w:lvlText w:val="•"/>
      <w:lvlJc w:val="left"/>
      <w:pPr>
        <w:ind w:left="6525" w:hanging="293"/>
      </w:pPr>
      <w:rPr>
        <w:rFonts w:hint="default"/>
      </w:rPr>
    </w:lvl>
    <w:lvl w:ilvl="8">
      <w:numFmt w:val="bullet"/>
      <w:lvlText w:val="•"/>
      <w:lvlJc w:val="left"/>
      <w:pPr>
        <w:ind w:left="7318" w:hanging="293"/>
      </w:pPr>
      <w:rPr>
        <w:rFonts w:hint="default"/>
      </w:rPr>
    </w:lvl>
  </w:abstractNum>
  <w:abstractNum w:abstractNumId="33" w15:restartNumberingAfterBreak="0">
    <w:nsid w:val="52085567"/>
    <w:multiLevelType w:val="hybridMultilevel"/>
    <w:tmpl w:val="54FCA95E"/>
    <w:lvl w:ilvl="0" w:tplc="6DF0043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56008A3"/>
    <w:multiLevelType w:val="hybridMultilevel"/>
    <w:tmpl w:val="233061BA"/>
    <w:lvl w:ilvl="0" w:tplc="2D86E3F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0223A05"/>
    <w:multiLevelType w:val="hybridMultilevel"/>
    <w:tmpl w:val="FC340A4E"/>
    <w:lvl w:ilvl="0" w:tplc="7CECC6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31974EB"/>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63D0513"/>
    <w:multiLevelType w:val="hybridMultilevel"/>
    <w:tmpl w:val="233061BA"/>
    <w:lvl w:ilvl="0" w:tplc="2D86E3F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6982215"/>
    <w:multiLevelType w:val="hybridMultilevel"/>
    <w:tmpl w:val="F00C9CD8"/>
    <w:lvl w:ilvl="0" w:tplc="E2486BC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A200C7C"/>
    <w:multiLevelType w:val="hybridMultilevel"/>
    <w:tmpl w:val="233061BA"/>
    <w:lvl w:ilvl="0" w:tplc="2D86E3F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6E242105"/>
    <w:multiLevelType w:val="hybridMultilevel"/>
    <w:tmpl w:val="FF40DFFA"/>
    <w:lvl w:ilvl="0" w:tplc="B06EDF32">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36C5594"/>
    <w:multiLevelType w:val="hybridMultilevel"/>
    <w:tmpl w:val="9D764CE6"/>
    <w:lvl w:ilvl="0" w:tplc="E4F8ACF4">
      <w:start w:val="1"/>
      <w:numFmt w:val="lowerRoman"/>
      <w:lvlText w:val="(%1)"/>
      <w:lvlJc w:val="left"/>
      <w:pPr>
        <w:ind w:left="454" w:hanging="454"/>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5B738F8"/>
    <w:multiLevelType w:val="hybridMultilevel"/>
    <w:tmpl w:val="5A143902"/>
    <w:lvl w:ilvl="0" w:tplc="7EF4F13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C6B623A"/>
    <w:multiLevelType w:val="hybridMultilevel"/>
    <w:tmpl w:val="07549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7DA745AD"/>
    <w:multiLevelType w:val="hybridMultilevel"/>
    <w:tmpl w:val="5808ACE4"/>
    <w:lvl w:ilvl="0" w:tplc="A0C4FF3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5"/>
  </w:num>
  <w:num w:numId="3">
    <w:abstractNumId w:val="44"/>
  </w:num>
  <w:num w:numId="4">
    <w:abstractNumId w:val="4"/>
  </w:num>
  <w:num w:numId="5">
    <w:abstractNumId w:val="33"/>
  </w:num>
  <w:num w:numId="6">
    <w:abstractNumId w:val="29"/>
  </w:num>
  <w:num w:numId="7">
    <w:abstractNumId w:val="40"/>
  </w:num>
  <w:num w:numId="8">
    <w:abstractNumId w:val="42"/>
  </w:num>
  <w:num w:numId="9">
    <w:abstractNumId w:val="9"/>
  </w:num>
  <w:num w:numId="10">
    <w:abstractNumId w:val="38"/>
  </w:num>
  <w:num w:numId="11">
    <w:abstractNumId w:val="37"/>
  </w:num>
  <w:num w:numId="12">
    <w:abstractNumId w:val="10"/>
  </w:num>
  <w:num w:numId="13">
    <w:abstractNumId w:val="22"/>
  </w:num>
  <w:num w:numId="14">
    <w:abstractNumId w:val="39"/>
  </w:num>
  <w:num w:numId="15">
    <w:abstractNumId w:val="20"/>
  </w:num>
  <w:num w:numId="16">
    <w:abstractNumId w:val="16"/>
  </w:num>
  <w:num w:numId="17">
    <w:abstractNumId w:val="12"/>
  </w:num>
  <w:num w:numId="18">
    <w:abstractNumId w:val="1"/>
  </w:num>
  <w:num w:numId="19">
    <w:abstractNumId w:val="32"/>
  </w:num>
  <w:num w:numId="20">
    <w:abstractNumId w:val="28"/>
  </w:num>
  <w:num w:numId="21">
    <w:abstractNumId w:val="8"/>
  </w:num>
  <w:num w:numId="22">
    <w:abstractNumId w:val="3"/>
  </w:num>
  <w:num w:numId="23">
    <w:abstractNumId w:val="15"/>
  </w:num>
  <w:num w:numId="24">
    <w:abstractNumId w:val="34"/>
  </w:num>
  <w:num w:numId="25">
    <w:abstractNumId w:val="17"/>
  </w:num>
  <w:num w:numId="26">
    <w:abstractNumId w:val="26"/>
  </w:num>
  <w:num w:numId="27">
    <w:abstractNumId w:val="23"/>
  </w:num>
  <w:num w:numId="28">
    <w:abstractNumId w:val="0"/>
  </w:num>
  <w:num w:numId="29">
    <w:abstractNumId w:val="6"/>
  </w:num>
  <w:num w:numId="30">
    <w:abstractNumId w:val="25"/>
  </w:num>
  <w:num w:numId="31">
    <w:abstractNumId w:val="41"/>
  </w:num>
  <w:num w:numId="32">
    <w:abstractNumId w:val="24"/>
  </w:num>
  <w:num w:numId="33">
    <w:abstractNumId w:val="36"/>
  </w:num>
  <w:num w:numId="34">
    <w:abstractNumId w:val="21"/>
  </w:num>
  <w:num w:numId="35">
    <w:abstractNumId w:val="18"/>
  </w:num>
  <w:num w:numId="36">
    <w:abstractNumId w:val="27"/>
  </w:num>
  <w:num w:numId="37">
    <w:abstractNumId w:val="7"/>
  </w:num>
  <w:num w:numId="38">
    <w:abstractNumId w:val="30"/>
  </w:num>
  <w:num w:numId="39">
    <w:abstractNumId w:val="43"/>
  </w:num>
  <w:num w:numId="40">
    <w:abstractNumId w:val="19"/>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1"/>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MDQ2sDAxMTc3NDFS0lEKTi0uzszPAykwqgUA9Z44MCwAAAA="/>
  </w:docVars>
  <w:rsids>
    <w:rsidRoot w:val="00551B56"/>
    <w:rsid w:val="00000261"/>
    <w:rsid w:val="00003B9D"/>
    <w:rsid w:val="00006C98"/>
    <w:rsid w:val="00015CD8"/>
    <w:rsid w:val="00016200"/>
    <w:rsid w:val="0001686B"/>
    <w:rsid w:val="00017DE0"/>
    <w:rsid w:val="0002335A"/>
    <w:rsid w:val="00024201"/>
    <w:rsid w:val="00024C16"/>
    <w:rsid w:val="0002541E"/>
    <w:rsid w:val="0002764B"/>
    <w:rsid w:val="00030057"/>
    <w:rsid w:val="000312A6"/>
    <w:rsid w:val="000316D6"/>
    <w:rsid w:val="00032483"/>
    <w:rsid w:val="00033A14"/>
    <w:rsid w:val="00034E2B"/>
    <w:rsid w:val="0004047B"/>
    <w:rsid w:val="00043580"/>
    <w:rsid w:val="00045469"/>
    <w:rsid w:val="0005590B"/>
    <w:rsid w:val="00056386"/>
    <w:rsid w:val="00062AE2"/>
    <w:rsid w:val="00063590"/>
    <w:rsid w:val="000639AE"/>
    <w:rsid w:val="000643B2"/>
    <w:rsid w:val="0006442E"/>
    <w:rsid w:val="000658B4"/>
    <w:rsid w:val="00067060"/>
    <w:rsid w:val="00067389"/>
    <w:rsid w:val="000673A5"/>
    <w:rsid w:val="000714F9"/>
    <w:rsid w:val="00075527"/>
    <w:rsid w:val="00075C62"/>
    <w:rsid w:val="00082DF1"/>
    <w:rsid w:val="0009090E"/>
    <w:rsid w:val="000921E2"/>
    <w:rsid w:val="0009444A"/>
    <w:rsid w:val="00094E9C"/>
    <w:rsid w:val="000A58CE"/>
    <w:rsid w:val="000A5B02"/>
    <w:rsid w:val="000A7848"/>
    <w:rsid w:val="000B05D7"/>
    <w:rsid w:val="000B1E89"/>
    <w:rsid w:val="000B2A1A"/>
    <w:rsid w:val="000B2B72"/>
    <w:rsid w:val="000B41EA"/>
    <w:rsid w:val="000B719E"/>
    <w:rsid w:val="000C289B"/>
    <w:rsid w:val="000C368B"/>
    <w:rsid w:val="000D0585"/>
    <w:rsid w:val="000D451A"/>
    <w:rsid w:val="000D4BD9"/>
    <w:rsid w:val="000D62A7"/>
    <w:rsid w:val="000D6F2F"/>
    <w:rsid w:val="000D7F2F"/>
    <w:rsid w:val="000E3A33"/>
    <w:rsid w:val="000E6D44"/>
    <w:rsid w:val="000F2BF0"/>
    <w:rsid w:val="000F41E8"/>
    <w:rsid w:val="000F488B"/>
    <w:rsid w:val="000F50B6"/>
    <w:rsid w:val="000F638A"/>
    <w:rsid w:val="000F6FAF"/>
    <w:rsid w:val="00101EAA"/>
    <w:rsid w:val="00106486"/>
    <w:rsid w:val="00110626"/>
    <w:rsid w:val="00110D78"/>
    <w:rsid w:val="001128FD"/>
    <w:rsid w:val="00114BA9"/>
    <w:rsid w:val="0011661E"/>
    <w:rsid w:val="001166AA"/>
    <w:rsid w:val="00116CB0"/>
    <w:rsid w:val="00120B4B"/>
    <w:rsid w:val="00124807"/>
    <w:rsid w:val="001250A0"/>
    <w:rsid w:val="00125EBA"/>
    <w:rsid w:val="00127108"/>
    <w:rsid w:val="0013163A"/>
    <w:rsid w:val="00131EE1"/>
    <w:rsid w:val="00132B1A"/>
    <w:rsid w:val="00133153"/>
    <w:rsid w:val="0013316F"/>
    <w:rsid w:val="00133B87"/>
    <w:rsid w:val="00134205"/>
    <w:rsid w:val="00134DAF"/>
    <w:rsid w:val="001377D4"/>
    <w:rsid w:val="001401F1"/>
    <w:rsid w:val="00140D74"/>
    <w:rsid w:val="001411D8"/>
    <w:rsid w:val="001427FC"/>
    <w:rsid w:val="00143AD3"/>
    <w:rsid w:val="00143BF9"/>
    <w:rsid w:val="001440D7"/>
    <w:rsid w:val="00145E1E"/>
    <w:rsid w:val="0014619C"/>
    <w:rsid w:val="00151977"/>
    <w:rsid w:val="00153949"/>
    <w:rsid w:val="001543D6"/>
    <w:rsid w:val="00157EB6"/>
    <w:rsid w:val="00160FFC"/>
    <w:rsid w:val="001615B7"/>
    <w:rsid w:val="001617F3"/>
    <w:rsid w:val="00163059"/>
    <w:rsid w:val="00163ACE"/>
    <w:rsid w:val="00163FC5"/>
    <w:rsid w:val="001647C2"/>
    <w:rsid w:val="00167CD1"/>
    <w:rsid w:val="001776B2"/>
    <w:rsid w:val="00180A26"/>
    <w:rsid w:val="00182C09"/>
    <w:rsid w:val="00185AEC"/>
    <w:rsid w:val="00186039"/>
    <w:rsid w:val="001902E3"/>
    <w:rsid w:val="00190399"/>
    <w:rsid w:val="001921E2"/>
    <w:rsid w:val="0019247B"/>
    <w:rsid w:val="001926DA"/>
    <w:rsid w:val="00193474"/>
    <w:rsid w:val="001948E7"/>
    <w:rsid w:val="00195DB5"/>
    <w:rsid w:val="001A0EA2"/>
    <w:rsid w:val="001A311B"/>
    <w:rsid w:val="001A3630"/>
    <w:rsid w:val="001A3F71"/>
    <w:rsid w:val="001B3169"/>
    <w:rsid w:val="001B3295"/>
    <w:rsid w:val="001B39E2"/>
    <w:rsid w:val="001B43BB"/>
    <w:rsid w:val="001B4F3A"/>
    <w:rsid w:val="001B6353"/>
    <w:rsid w:val="001B6AFE"/>
    <w:rsid w:val="001C2322"/>
    <w:rsid w:val="001C465B"/>
    <w:rsid w:val="001C48ED"/>
    <w:rsid w:val="001D0BE7"/>
    <w:rsid w:val="001D0FE9"/>
    <w:rsid w:val="001D17B0"/>
    <w:rsid w:val="001D2E3B"/>
    <w:rsid w:val="001D5AF2"/>
    <w:rsid w:val="001E4ECD"/>
    <w:rsid w:val="001E67DC"/>
    <w:rsid w:val="001E7110"/>
    <w:rsid w:val="001F44C8"/>
    <w:rsid w:val="001F6F91"/>
    <w:rsid w:val="00200C67"/>
    <w:rsid w:val="00203CE8"/>
    <w:rsid w:val="00207DA8"/>
    <w:rsid w:val="0021234C"/>
    <w:rsid w:val="0021280E"/>
    <w:rsid w:val="0021300E"/>
    <w:rsid w:val="00214B23"/>
    <w:rsid w:val="00214F19"/>
    <w:rsid w:val="0021502C"/>
    <w:rsid w:val="0021522F"/>
    <w:rsid w:val="00217A46"/>
    <w:rsid w:val="00220B94"/>
    <w:rsid w:val="00220F33"/>
    <w:rsid w:val="002251C8"/>
    <w:rsid w:val="0022686E"/>
    <w:rsid w:val="00230FCA"/>
    <w:rsid w:val="002334AB"/>
    <w:rsid w:val="00241292"/>
    <w:rsid w:val="0024313D"/>
    <w:rsid w:val="002448A7"/>
    <w:rsid w:val="00260C17"/>
    <w:rsid w:val="00260F28"/>
    <w:rsid w:val="002613BB"/>
    <w:rsid w:val="00264DB9"/>
    <w:rsid w:val="002736DA"/>
    <w:rsid w:val="00273A23"/>
    <w:rsid w:val="00273D88"/>
    <w:rsid w:val="00281833"/>
    <w:rsid w:val="00282913"/>
    <w:rsid w:val="0028412C"/>
    <w:rsid w:val="002850AD"/>
    <w:rsid w:val="0028650E"/>
    <w:rsid w:val="00286B39"/>
    <w:rsid w:val="00286BC7"/>
    <w:rsid w:val="0029319D"/>
    <w:rsid w:val="002949F7"/>
    <w:rsid w:val="00296472"/>
    <w:rsid w:val="00296769"/>
    <w:rsid w:val="002A1CA0"/>
    <w:rsid w:val="002A2EF2"/>
    <w:rsid w:val="002A4CD3"/>
    <w:rsid w:val="002A5DA5"/>
    <w:rsid w:val="002A63ED"/>
    <w:rsid w:val="002A7613"/>
    <w:rsid w:val="002A7AB7"/>
    <w:rsid w:val="002B02C3"/>
    <w:rsid w:val="002B0C6C"/>
    <w:rsid w:val="002B1766"/>
    <w:rsid w:val="002B2B9D"/>
    <w:rsid w:val="002B6491"/>
    <w:rsid w:val="002B7D0A"/>
    <w:rsid w:val="002C22D7"/>
    <w:rsid w:val="002C26BB"/>
    <w:rsid w:val="002C2803"/>
    <w:rsid w:val="002C417A"/>
    <w:rsid w:val="002D03A4"/>
    <w:rsid w:val="002D09A9"/>
    <w:rsid w:val="002D12DB"/>
    <w:rsid w:val="002D6474"/>
    <w:rsid w:val="002D6539"/>
    <w:rsid w:val="002D6C9C"/>
    <w:rsid w:val="002E2BDF"/>
    <w:rsid w:val="002E2D5F"/>
    <w:rsid w:val="002E34B5"/>
    <w:rsid w:val="002E3539"/>
    <w:rsid w:val="002E383D"/>
    <w:rsid w:val="002E39B1"/>
    <w:rsid w:val="002F7A97"/>
    <w:rsid w:val="00302405"/>
    <w:rsid w:val="0030481A"/>
    <w:rsid w:val="00304CAB"/>
    <w:rsid w:val="00310714"/>
    <w:rsid w:val="00311ED4"/>
    <w:rsid w:val="00313796"/>
    <w:rsid w:val="003140CD"/>
    <w:rsid w:val="00315F20"/>
    <w:rsid w:val="0031623A"/>
    <w:rsid w:val="00316B2A"/>
    <w:rsid w:val="00316B64"/>
    <w:rsid w:val="00320406"/>
    <w:rsid w:val="003217DB"/>
    <w:rsid w:val="00331B99"/>
    <w:rsid w:val="00333C6D"/>
    <w:rsid w:val="00337334"/>
    <w:rsid w:val="00340538"/>
    <w:rsid w:val="00341E59"/>
    <w:rsid w:val="00344C0C"/>
    <w:rsid w:val="00346E3A"/>
    <w:rsid w:val="00347C00"/>
    <w:rsid w:val="00352E08"/>
    <w:rsid w:val="003549C9"/>
    <w:rsid w:val="0035600C"/>
    <w:rsid w:val="00357EAC"/>
    <w:rsid w:val="003611F2"/>
    <w:rsid w:val="00362B0A"/>
    <w:rsid w:val="003662A1"/>
    <w:rsid w:val="00366D8F"/>
    <w:rsid w:val="003679B2"/>
    <w:rsid w:val="0037050A"/>
    <w:rsid w:val="00372688"/>
    <w:rsid w:val="00386377"/>
    <w:rsid w:val="003869B8"/>
    <w:rsid w:val="00386C81"/>
    <w:rsid w:val="0039130E"/>
    <w:rsid w:val="00391A39"/>
    <w:rsid w:val="00392A78"/>
    <w:rsid w:val="00397AAF"/>
    <w:rsid w:val="003A703C"/>
    <w:rsid w:val="003A74D7"/>
    <w:rsid w:val="003B11FD"/>
    <w:rsid w:val="003B29A0"/>
    <w:rsid w:val="003B53B9"/>
    <w:rsid w:val="003C17BC"/>
    <w:rsid w:val="003C2528"/>
    <w:rsid w:val="003C2CE6"/>
    <w:rsid w:val="003C3CD9"/>
    <w:rsid w:val="003C5A91"/>
    <w:rsid w:val="003C6C83"/>
    <w:rsid w:val="003D1CDC"/>
    <w:rsid w:val="003D63BE"/>
    <w:rsid w:val="003E3C8F"/>
    <w:rsid w:val="003E40AC"/>
    <w:rsid w:val="003E4644"/>
    <w:rsid w:val="003F43C9"/>
    <w:rsid w:val="003F48DC"/>
    <w:rsid w:val="003F62B1"/>
    <w:rsid w:val="003F7723"/>
    <w:rsid w:val="004015BB"/>
    <w:rsid w:val="00404F49"/>
    <w:rsid w:val="0040523E"/>
    <w:rsid w:val="00410460"/>
    <w:rsid w:val="0041081F"/>
    <w:rsid w:val="00411F83"/>
    <w:rsid w:val="004141CC"/>
    <w:rsid w:val="00414EFB"/>
    <w:rsid w:val="004158A6"/>
    <w:rsid w:val="00417867"/>
    <w:rsid w:val="00417A8C"/>
    <w:rsid w:val="004201D9"/>
    <w:rsid w:val="00424882"/>
    <w:rsid w:val="00431D6C"/>
    <w:rsid w:val="00431E16"/>
    <w:rsid w:val="00433A32"/>
    <w:rsid w:val="00435DD2"/>
    <w:rsid w:val="004365AC"/>
    <w:rsid w:val="00440F8F"/>
    <w:rsid w:val="004440AF"/>
    <w:rsid w:val="00444C67"/>
    <w:rsid w:val="0045526B"/>
    <w:rsid w:val="0046183B"/>
    <w:rsid w:val="00464BB9"/>
    <w:rsid w:val="004703F4"/>
    <w:rsid w:val="00471242"/>
    <w:rsid w:val="00472659"/>
    <w:rsid w:val="0047401F"/>
    <w:rsid w:val="0047553C"/>
    <w:rsid w:val="00476A33"/>
    <w:rsid w:val="00482557"/>
    <w:rsid w:val="00485033"/>
    <w:rsid w:val="00487BE7"/>
    <w:rsid w:val="00490061"/>
    <w:rsid w:val="00492B65"/>
    <w:rsid w:val="00493505"/>
    <w:rsid w:val="004A4C11"/>
    <w:rsid w:val="004A52C4"/>
    <w:rsid w:val="004A53BF"/>
    <w:rsid w:val="004A558A"/>
    <w:rsid w:val="004B1ED3"/>
    <w:rsid w:val="004B312B"/>
    <w:rsid w:val="004B368B"/>
    <w:rsid w:val="004B49F6"/>
    <w:rsid w:val="004B5E19"/>
    <w:rsid w:val="004B7103"/>
    <w:rsid w:val="004B7146"/>
    <w:rsid w:val="004B77E7"/>
    <w:rsid w:val="004C4C3D"/>
    <w:rsid w:val="004C59AA"/>
    <w:rsid w:val="004C65B4"/>
    <w:rsid w:val="004C7F21"/>
    <w:rsid w:val="004D2AE2"/>
    <w:rsid w:val="004D2E46"/>
    <w:rsid w:val="004D386C"/>
    <w:rsid w:val="004D49D6"/>
    <w:rsid w:val="004D4D43"/>
    <w:rsid w:val="004D50B7"/>
    <w:rsid w:val="004D590F"/>
    <w:rsid w:val="004D5EBC"/>
    <w:rsid w:val="004D7B35"/>
    <w:rsid w:val="004E2B37"/>
    <w:rsid w:val="004E2C1F"/>
    <w:rsid w:val="004E31D2"/>
    <w:rsid w:val="004E48DB"/>
    <w:rsid w:val="004E55CB"/>
    <w:rsid w:val="004F26BA"/>
    <w:rsid w:val="004F43B8"/>
    <w:rsid w:val="004F4C32"/>
    <w:rsid w:val="004F4F2E"/>
    <w:rsid w:val="004F79AF"/>
    <w:rsid w:val="00502661"/>
    <w:rsid w:val="00502765"/>
    <w:rsid w:val="00504171"/>
    <w:rsid w:val="005047BA"/>
    <w:rsid w:val="00504F5E"/>
    <w:rsid w:val="00506425"/>
    <w:rsid w:val="00507C01"/>
    <w:rsid w:val="005110A3"/>
    <w:rsid w:val="005125B7"/>
    <w:rsid w:val="00512FB9"/>
    <w:rsid w:val="00520586"/>
    <w:rsid w:val="00521E3D"/>
    <w:rsid w:val="0052648B"/>
    <w:rsid w:val="005272A0"/>
    <w:rsid w:val="0053010F"/>
    <w:rsid w:val="00532BC3"/>
    <w:rsid w:val="0053319E"/>
    <w:rsid w:val="005331CD"/>
    <w:rsid w:val="00535CD3"/>
    <w:rsid w:val="005368C2"/>
    <w:rsid w:val="00537D1C"/>
    <w:rsid w:val="0054178C"/>
    <w:rsid w:val="00541BE1"/>
    <w:rsid w:val="005422CF"/>
    <w:rsid w:val="0054237C"/>
    <w:rsid w:val="005460EB"/>
    <w:rsid w:val="00546A32"/>
    <w:rsid w:val="0054706D"/>
    <w:rsid w:val="00551B56"/>
    <w:rsid w:val="00551C50"/>
    <w:rsid w:val="00553483"/>
    <w:rsid w:val="00554DA5"/>
    <w:rsid w:val="005625FD"/>
    <w:rsid w:val="005636EB"/>
    <w:rsid w:val="0056453C"/>
    <w:rsid w:val="005654F7"/>
    <w:rsid w:val="005663DA"/>
    <w:rsid w:val="00570184"/>
    <w:rsid w:val="005706C2"/>
    <w:rsid w:val="0057287C"/>
    <w:rsid w:val="005738AC"/>
    <w:rsid w:val="00574B64"/>
    <w:rsid w:val="0057552B"/>
    <w:rsid w:val="00581710"/>
    <w:rsid w:val="00581BFB"/>
    <w:rsid w:val="00582327"/>
    <w:rsid w:val="00582BE2"/>
    <w:rsid w:val="00582CB9"/>
    <w:rsid w:val="005832DB"/>
    <w:rsid w:val="0058344A"/>
    <w:rsid w:val="00584A48"/>
    <w:rsid w:val="00585DC4"/>
    <w:rsid w:val="005910D7"/>
    <w:rsid w:val="005959D9"/>
    <w:rsid w:val="00596902"/>
    <w:rsid w:val="005A3B04"/>
    <w:rsid w:val="005A3DBA"/>
    <w:rsid w:val="005A585D"/>
    <w:rsid w:val="005A64A5"/>
    <w:rsid w:val="005A7A3A"/>
    <w:rsid w:val="005B13D3"/>
    <w:rsid w:val="005B2643"/>
    <w:rsid w:val="005C131C"/>
    <w:rsid w:val="005C5EEC"/>
    <w:rsid w:val="005C640D"/>
    <w:rsid w:val="005C7203"/>
    <w:rsid w:val="005D0999"/>
    <w:rsid w:val="005D2564"/>
    <w:rsid w:val="005E0599"/>
    <w:rsid w:val="005E3859"/>
    <w:rsid w:val="005E3B89"/>
    <w:rsid w:val="005E41B1"/>
    <w:rsid w:val="005E4C4D"/>
    <w:rsid w:val="005E64C5"/>
    <w:rsid w:val="005E64E9"/>
    <w:rsid w:val="005F145C"/>
    <w:rsid w:val="005F172A"/>
    <w:rsid w:val="005F2EDF"/>
    <w:rsid w:val="005F3319"/>
    <w:rsid w:val="005F37F0"/>
    <w:rsid w:val="005F40FA"/>
    <w:rsid w:val="005F6B1E"/>
    <w:rsid w:val="005F6E83"/>
    <w:rsid w:val="00600824"/>
    <w:rsid w:val="00602214"/>
    <w:rsid w:val="0060223F"/>
    <w:rsid w:val="00603703"/>
    <w:rsid w:val="0060526D"/>
    <w:rsid w:val="00607311"/>
    <w:rsid w:val="0061171D"/>
    <w:rsid w:val="0061259F"/>
    <w:rsid w:val="00613125"/>
    <w:rsid w:val="0061417E"/>
    <w:rsid w:val="00614C92"/>
    <w:rsid w:val="00623F3B"/>
    <w:rsid w:val="0063007D"/>
    <w:rsid w:val="00632B8C"/>
    <w:rsid w:val="006330F3"/>
    <w:rsid w:val="00644BD0"/>
    <w:rsid w:val="0064617E"/>
    <w:rsid w:val="00650D85"/>
    <w:rsid w:val="006547DD"/>
    <w:rsid w:val="00654A27"/>
    <w:rsid w:val="00661804"/>
    <w:rsid w:val="006655CB"/>
    <w:rsid w:val="00665D88"/>
    <w:rsid w:val="00667D73"/>
    <w:rsid w:val="006729EF"/>
    <w:rsid w:val="00673654"/>
    <w:rsid w:val="0067600F"/>
    <w:rsid w:val="00680813"/>
    <w:rsid w:val="006815C0"/>
    <w:rsid w:val="00681EBE"/>
    <w:rsid w:val="00682C63"/>
    <w:rsid w:val="00685A8B"/>
    <w:rsid w:val="006930E1"/>
    <w:rsid w:val="00693A5A"/>
    <w:rsid w:val="006949EC"/>
    <w:rsid w:val="00696F28"/>
    <w:rsid w:val="006A44E9"/>
    <w:rsid w:val="006A524C"/>
    <w:rsid w:val="006C1D1B"/>
    <w:rsid w:val="006C2317"/>
    <w:rsid w:val="006C42EF"/>
    <w:rsid w:val="006D1943"/>
    <w:rsid w:val="006D280E"/>
    <w:rsid w:val="006D2F7B"/>
    <w:rsid w:val="006D61FE"/>
    <w:rsid w:val="006D73AD"/>
    <w:rsid w:val="006E0354"/>
    <w:rsid w:val="006E566D"/>
    <w:rsid w:val="006F3342"/>
    <w:rsid w:val="006F4864"/>
    <w:rsid w:val="00700F0B"/>
    <w:rsid w:val="007050C0"/>
    <w:rsid w:val="00705891"/>
    <w:rsid w:val="00716F72"/>
    <w:rsid w:val="00722999"/>
    <w:rsid w:val="0072625A"/>
    <w:rsid w:val="0073048C"/>
    <w:rsid w:val="0073094A"/>
    <w:rsid w:val="00733806"/>
    <w:rsid w:val="00733B61"/>
    <w:rsid w:val="00734DA1"/>
    <w:rsid w:val="00735BB4"/>
    <w:rsid w:val="0073717E"/>
    <w:rsid w:val="00737F8B"/>
    <w:rsid w:val="007456D1"/>
    <w:rsid w:val="007504B1"/>
    <w:rsid w:val="00753D3A"/>
    <w:rsid w:val="00755A0C"/>
    <w:rsid w:val="007627D3"/>
    <w:rsid w:val="0076305F"/>
    <w:rsid w:val="0076467E"/>
    <w:rsid w:val="00764EAA"/>
    <w:rsid w:val="00765C4E"/>
    <w:rsid w:val="00766964"/>
    <w:rsid w:val="007669AE"/>
    <w:rsid w:val="00770005"/>
    <w:rsid w:val="0077154E"/>
    <w:rsid w:val="0077387C"/>
    <w:rsid w:val="00774A1A"/>
    <w:rsid w:val="007772B0"/>
    <w:rsid w:val="00777A4A"/>
    <w:rsid w:val="00784DD6"/>
    <w:rsid w:val="007861A4"/>
    <w:rsid w:val="0079114C"/>
    <w:rsid w:val="00791489"/>
    <w:rsid w:val="0079169F"/>
    <w:rsid w:val="007A0092"/>
    <w:rsid w:val="007B14A3"/>
    <w:rsid w:val="007B1588"/>
    <w:rsid w:val="007B20FD"/>
    <w:rsid w:val="007B53DC"/>
    <w:rsid w:val="007C0E12"/>
    <w:rsid w:val="007C2334"/>
    <w:rsid w:val="007C41D9"/>
    <w:rsid w:val="007C7E82"/>
    <w:rsid w:val="007D03AE"/>
    <w:rsid w:val="007D0D15"/>
    <w:rsid w:val="007D2E89"/>
    <w:rsid w:val="007D3B3F"/>
    <w:rsid w:val="007D3D29"/>
    <w:rsid w:val="007D6944"/>
    <w:rsid w:val="007D6BC4"/>
    <w:rsid w:val="007E0675"/>
    <w:rsid w:val="007E4500"/>
    <w:rsid w:val="007E4F2B"/>
    <w:rsid w:val="007F29CC"/>
    <w:rsid w:val="007F3B81"/>
    <w:rsid w:val="007F3D3F"/>
    <w:rsid w:val="007F427C"/>
    <w:rsid w:val="007F6146"/>
    <w:rsid w:val="007F7E90"/>
    <w:rsid w:val="00800585"/>
    <w:rsid w:val="008028C6"/>
    <w:rsid w:val="00803721"/>
    <w:rsid w:val="00803B8A"/>
    <w:rsid w:val="00804478"/>
    <w:rsid w:val="0080569F"/>
    <w:rsid w:val="00810F7A"/>
    <w:rsid w:val="00813CF7"/>
    <w:rsid w:val="008148E7"/>
    <w:rsid w:val="008207BD"/>
    <w:rsid w:val="00823131"/>
    <w:rsid w:val="00826937"/>
    <w:rsid w:val="00826EE1"/>
    <w:rsid w:val="00827DE4"/>
    <w:rsid w:val="008329F9"/>
    <w:rsid w:val="00833465"/>
    <w:rsid w:val="008345E9"/>
    <w:rsid w:val="008437A8"/>
    <w:rsid w:val="00850595"/>
    <w:rsid w:val="00851EEC"/>
    <w:rsid w:val="008537B8"/>
    <w:rsid w:val="008558C2"/>
    <w:rsid w:val="00861786"/>
    <w:rsid w:val="008618AA"/>
    <w:rsid w:val="00862EE4"/>
    <w:rsid w:val="00872422"/>
    <w:rsid w:val="00880D41"/>
    <w:rsid w:val="0088532E"/>
    <w:rsid w:val="0088740F"/>
    <w:rsid w:val="0089270E"/>
    <w:rsid w:val="008957C8"/>
    <w:rsid w:val="008A0FC8"/>
    <w:rsid w:val="008A39B4"/>
    <w:rsid w:val="008A3DEC"/>
    <w:rsid w:val="008A4681"/>
    <w:rsid w:val="008A4B16"/>
    <w:rsid w:val="008A62CC"/>
    <w:rsid w:val="008B1881"/>
    <w:rsid w:val="008B2125"/>
    <w:rsid w:val="008B4B55"/>
    <w:rsid w:val="008B7DC8"/>
    <w:rsid w:val="008C44D8"/>
    <w:rsid w:val="008C7C66"/>
    <w:rsid w:val="008D017A"/>
    <w:rsid w:val="008D0C56"/>
    <w:rsid w:val="008D3AC6"/>
    <w:rsid w:val="008D571C"/>
    <w:rsid w:val="008D5FA8"/>
    <w:rsid w:val="008D7221"/>
    <w:rsid w:val="008E0682"/>
    <w:rsid w:val="008E0A17"/>
    <w:rsid w:val="008E1128"/>
    <w:rsid w:val="008E23B6"/>
    <w:rsid w:val="008E278C"/>
    <w:rsid w:val="008E703C"/>
    <w:rsid w:val="008E71A4"/>
    <w:rsid w:val="008F11D8"/>
    <w:rsid w:val="008F1C76"/>
    <w:rsid w:val="008F2529"/>
    <w:rsid w:val="008F2FD0"/>
    <w:rsid w:val="008F4512"/>
    <w:rsid w:val="008F47A6"/>
    <w:rsid w:val="008F4869"/>
    <w:rsid w:val="008F5522"/>
    <w:rsid w:val="008F778C"/>
    <w:rsid w:val="00900B74"/>
    <w:rsid w:val="00902B0D"/>
    <w:rsid w:val="0090520E"/>
    <w:rsid w:val="009067A1"/>
    <w:rsid w:val="009069A2"/>
    <w:rsid w:val="00910ED9"/>
    <w:rsid w:val="009141FD"/>
    <w:rsid w:val="00914E40"/>
    <w:rsid w:val="009151C4"/>
    <w:rsid w:val="00915507"/>
    <w:rsid w:val="00921421"/>
    <w:rsid w:val="009250D6"/>
    <w:rsid w:val="009255B9"/>
    <w:rsid w:val="009260BD"/>
    <w:rsid w:val="009260C1"/>
    <w:rsid w:val="00926B63"/>
    <w:rsid w:val="00930707"/>
    <w:rsid w:val="00932D6D"/>
    <w:rsid w:val="00941BDB"/>
    <w:rsid w:val="00946983"/>
    <w:rsid w:val="009474F6"/>
    <w:rsid w:val="009617E8"/>
    <w:rsid w:val="009620F6"/>
    <w:rsid w:val="009633CE"/>
    <w:rsid w:val="009637B2"/>
    <w:rsid w:val="009655CE"/>
    <w:rsid w:val="009661DF"/>
    <w:rsid w:val="009705AE"/>
    <w:rsid w:val="00971E2A"/>
    <w:rsid w:val="009729AF"/>
    <w:rsid w:val="00972E8C"/>
    <w:rsid w:val="00981B72"/>
    <w:rsid w:val="00983F62"/>
    <w:rsid w:val="00984A9B"/>
    <w:rsid w:val="00986F01"/>
    <w:rsid w:val="00987C47"/>
    <w:rsid w:val="00992596"/>
    <w:rsid w:val="009933F3"/>
    <w:rsid w:val="00993B87"/>
    <w:rsid w:val="00996D14"/>
    <w:rsid w:val="00997C7B"/>
    <w:rsid w:val="009A1A20"/>
    <w:rsid w:val="009A43BE"/>
    <w:rsid w:val="009A5B3D"/>
    <w:rsid w:val="009A6556"/>
    <w:rsid w:val="009A692F"/>
    <w:rsid w:val="009A7317"/>
    <w:rsid w:val="009A7771"/>
    <w:rsid w:val="009B0629"/>
    <w:rsid w:val="009B4790"/>
    <w:rsid w:val="009B606C"/>
    <w:rsid w:val="009C1AB1"/>
    <w:rsid w:val="009C3C37"/>
    <w:rsid w:val="009C5832"/>
    <w:rsid w:val="009C73AF"/>
    <w:rsid w:val="009D1BD3"/>
    <w:rsid w:val="009D44AB"/>
    <w:rsid w:val="009D6366"/>
    <w:rsid w:val="009D77D3"/>
    <w:rsid w:val="009D79EE"/>
    <w:rsid w:val="009E0C9B"/>
    <w:rsid w:val="009E1F06"/>
    <w:rsid w:val="009E35CC"/>
    <w:rsid w:val="009E3ED9"/>
    <w:rsid w:val="009E595F"/>
    <w:rsid w:val="009E7B58"/>
    <w:rsid w:val="009F55A4"/>
    <w:rsid w:val="009F7E76"/>
    <w:rsid w:val="00A01B59"/>
    <w:rsid w:val="00A0220E"/>
    <w:rsid w:val="00A0249D"/>
    <w:rsid w:val="00A032FE"/>
    <w:rsid w:val="00A05F64"/>
    <w:rsid w:val="00A066D7"/>
    <w:rsid w:val="00A07302"/>
    <w:rsid w:val="00A17E62"/>
    <w:rsid w:val="00A17F25"/>
    <w:rsid w:val="00A17FD7"/>
    <w:rsid w:val="00A23ACB"/>
    <w:rsid w:val="00A32B26"/>
    <w:rsid w:val="00A33D7A"/>
    <w:rsid w:val="00A3585F"/>
    <w:rsid w:val="00A3610C"/>
    <w:rsid w:val="00A365D8"/>
    <w:rsid w:val="00A40173"/>
    <w:rsid w:val="00A408AD"/>
    <w:rsid w:val="00A44178"/>
    <w:rsid w:val="00A458C4"/>
    <w:rsid w:val="00A4660B"/>
    <w:rsid w:val="00A46A9D"/>
    <w:rsid w:val="00A51F83"/>
    <w:rsid w:val="00A52D2F"/>
    <w:rsid w:val="00A54745"/>
    <w:rsid w:val="00A5669C"/>
    <w:rsid w:val="00A61EAA"/>
    <w:rsid w:val="00A62C0A"/>
    <w:rsid w:val="00A6310D"/>
    <w:rsid w:val="00A67DFF"/>
    <w:rsid w:val="00A712AF"/>
    <w:rsid w:val="00A71ABF"/>
    <w:rsid w:val="00A756E6"/>
    <w:rsid w:val="00A779D9"/>
    <w:rsid w:val="00A808AD"/>
    <w:rsid w:val="00A810E0"/>
    <w:rsid w:val="00A8505E"/>
    <w:rsid w:val="00A8579A"/>
    <w:rsid w:val="00A85CF2"/>
    <w:rsid w:val="00A85F11"/>
    <w:rsid w:val="00A864C5"/>
    <w:rsid w:val="00A874F7"/>
    <w:rsid w:val="00A97E3D"/>
    <w:rsid w:val="00AA113A"/>
    <w:rsid w:val="00AA2FF5"/>
    <w:rsid w:val="00AA3068"/>
    <w:rsid w:val="00AA60C5"/>
    <w:rsid w:val="00AA7B03"/>
    <w:rsid w:val="00AB22C9"/>
    <w:rsid w:val="00AB2830"/>
    <w:rsid w:val="00AB65B7"/>
    <w:rsid w:val="00AB7FA9"/>
    <w:rsid w:val="00AC20F8"/>
    <w:rsid w:val="00AC3506"/>
    <w:rsid w:val="00AC545E"/>
    <w:rsid w:val="00AC6865"/>
    <w:rsid w:val="00AD3D22"/>
    <w:rsid w:val="00AD4A85"/>
    <w:rsid w:val="00AE1E2B"/>
    <w:rsid w:val="00AE3329"/>
    <w:rsid w:val="00AE47A2"/>
    <w:rsid w:val="00AF24CD"/>
    <w:rsid w:val="00AF43AC"/>
    <w:rsid w:val="00B00483"/>
    <w:rsid w:val="00B028C8"/>
    <w:rsid w:val="00B051D3"/>
    <w:rsid w:val="00B05826"/>
    <w:rsid w:val="00B05EE2"/>
    <w:rsid w:val="00B100F4"/>
    <w:rsid w:val="00B10E13"/>
    <w:rsid w:val="00B10EE8"/>
    <w:rsid w:val="00B1473D"/>
    <w:rsid w:val="00B16440"/>
    <w:rsid w:val="00B22EC0"/>
    <w:rsid w:val="00B23904"/>
    <w:rsid w:val="00B23A05"/>
    <w:rsid w:val="00B26229"/>
    <w:rsid w:val="00B31785"/>
    <w:rsid w:val="00B32ADA"/>
    <w:rsid w:val="00B32E80"/>
    <w:rsid w:val="00B40BA5"/>
    <w:rsid w:val="00B41030"/>
    <w:rsid w:val="00B416FE"/>
    <w:rsid w:val="00B432EA"/>
    <w:rsid w:val="00B45E42"/>
    <w:rsid w:val="00B517CF"/>
    <w:rsid w:val="00B54502"/>
    <w:rsid w:val="00B54B4A"/>
    <w:rsid w:val="00B55BD5"/>
    <w:rsid w:val="00B616E9"/>
    <w:rsid w:val="00B62E2D"/>
    <w:rsid w:val="00B6331F"/>
    <w:rsid w:val="00B6643F"/>
    <w:rsid w:val="00B730F2"/>
    <w:rsid w:val="00B770CE"/>
    <w:rsid w:val="00B8069B"/>
    <w:rsid w:val="00B832CB"/>
    <w:rsid w:val="00B833DE"/>
    <w:rsid w:val="00B847FC"/>
    <w:rsid w:val="00B85302"/>
    <w:rsid w:val="00B96883"/>
    <w:rsid w:val="00BA008D"/>
    <w:rsid w:val="00BA10C6"/>
    <w:rsid w:val="00BA2855"/>
    <w:rsid w:val="00BA4B22"/>
    <w:rsid w:val="00BA4E66"/>
    <w:rsid w:val="00BA50F8"/>
    <w:rsid w:val="00BB063F"/>
    <w:rsid w:val="00BB0981"/>
    <w:rsid w:val="00BB0FF1"/>
    <w:rsid w:val="00BB168A"/>
    <w:rsid w:val="00BB43FF"/>
    <w:rsid w:val="00BB5A95"/>
    <w:rsid w:val="00BC186A"/>
    <w:rsid w:val="00BC3EEB"/>
    <w:rsid w:val="00BC4FA6"/>
    <w:rsid w:val="00BD088F"/>
    <w:rsid w:val="00BD78CD"/>
    <w:rsid w:val="00BE0289"/>
    <w:rsid w:val="00BE0E80"/>
    <w:rsid w:val="00BE14C5"/>
    <w:rsid w:val="00BE1AE8"/>
    <w:rsid w:val="00BE2174"/>
    <w:rsid w:val="00BE516C"/>
    <w:rsid w:val="00BE72D9"/>
    <w:rsid w:val="00BE7F48"/>
    <w:rsid w:val="00BF1E3D"/>
    <w:rsid w:val="00BF2B6E"/>
    <w:rsid w:val="00BF2C39"/>
    <w:rsid w:val="00BF725E"/>
    <w:rsid w:val="00C00715"/>
    <w:rsid w:val="00C0120E"/>
    <w:rsid w:val="00C035A3"/>
    <w:rsid w:val="00C06A4B"/>
    <w:rsid w:val="00C07A91"/>
    <w:rsid w:val="00C14AE1"/>
    <w:rsid w:val="00C15B3E"/>
    <w:rsid w:val="00C15E21"/>
    <w:rsid w:val="00C16907"/>
    <w:rsid w:val="00C17046"/>
    <w:rsid w:val="00C21410"/>
    <w:rsid w:val="00C21967"/>
    <w:rsid w:val="00C21FB1"/>
    <w:rsid w:val="00C240D5"/>
    <w:rsid w:val="00C249C3"/>
    <w:rsid w:val="00C3043A"/>
    <w:rsid w:val="00C32179"/>
    <w:rsid w:val="00C330EF"/>
    <w:rsid w:val="00C33D23"/>
    <w:rsid w:val="00C351C3"/>
    <w:rsid w:val="00C35EF3"/>
    <w:rsid w:val="00C36121"/>
    <w:rsid w:val="00C40FED"/>
    <w:rsid w:val="00C414A5"/>
    <w:rsid w:val="00C419F7"/>
    <w:rsid w:val="00C43468"/>
    <w:rsid w:val="00C446E0"/>
    <w:rsid w:val="00C45AF5"/>
    <w:rsid w:val="00C552E0"/>
    <w:rsid w:val="00C564C0"/>
    <w:rsid w:val="00C66078"/>
    <w:rsid w:val="00C67F4F"/>
    <w:rsid w:val="00C73422"/>
    <w:rsid w:val="00C739A2"/>
    <w:rsid w:val="00C75A96"/>
    <w:rsid w:val="00C75AAD"/>
    <w:rsid w:val="00C76FE3"/>
    <w:rsid w:val="00C77CBF"/>
    <w:rsid w:val="00C803CF"/>
    <w:rsid w:val="00C83C43"/>
    <w:rsid w:val="00C87D40"/>
    <w:rsid w:val="00C90320"/>
    <w:rsid w:val="00C93C1E"/>
    <w:rsid w:val="00CA2E62"/>
    <w:rsid w:val="00CA3D97"/>
    <w:rsid w:val="00CB028F"/>
    <w:rsid w:val="00CB0B6A"/>
    <w:rsid w:val="00CB0F29"/>
    <w:rsid w:val="00CB1844"/>
    <w:rsid w:val="00CB47A5"/>
    <w:rsid w:val="00CB7527"/>
    <w:rsid w:val="00CC034B"/>
    <w:rsid w:val="00CC2754"/>
    <w:rsid w:val="00CC4825"/>
    <w:rsid w:val="00CC489C"/>
    <w:rsid w:val="00CD2173"/>
    <w:rsid w:val="00CD2D71"/>
    <w:rsid w:val="00CD430D"/>
    <w:rsid w:val="00CD472B"/>
    <w:rsid w:val="00CD59EE"/>
    <w:rsid w:val="00CD63A3"/>
    <w:rsid w:val="00CE002E"/>
    <w:rsid w:val="00CE0A22"/>
    <w:rsid w:val="00CE0E42"/>
    <w:rsid w:val="00CE32F9"/>
    <w:rsid w:val="00CE723F"/>
    <w:rsid w:val="00CE72D0"/>
    <w:rsid w:val="00CF1B56"/>
    <w:rsid w:val="00CF39D3"/>
    <w:rsid w:val="00CF3ACB"/>
    <w:rsid w:val="00CF42F7"/>
    <w:rsid w:val="00CF57B1"/>
    <w:rsid w:val="00CF5C87"/>
    <w:rsid w:val="00CF7D16"/>
    <w:rsid w:val="00D01DFF"/>
    <w:rsid w:val="00D03DBF"/>
    <w:rsid w:val="00D07046"/>
    <w:rsid w:val="00D11B82"/>
    <w:rsid w:val="00D11D6C"/>
    <w:rsid w:val="00D156F0"/>
    <w:rsid w:val="00D160BB"/>
    <w:rsid w:val="00D176B1"/>
    <w:rsid w:val="00D20071"/>
    <w:rsid w:val="00D24D36"/>
    <w:rsid w:val="00D259C6"/>
    <w:rsid w:val="00D27FE7"/>
    <w:rsid w:val="00D31708"/>
    <w:rsid w:val="00D3305A"/>
    <w:rsid w:val="00D40635"/>
    <w:rsid w:val="00D428AA"/>
    <w:rsid w:val="00D42AAF"/>
    <w:rsid w:val="00D442D3"/>
    <w:rsid w:val="00D45CB2"/>
    <w:rsid w:val="00D46E7D"/>
    <w:rsid w:val="00D53B54"/>
    <w:rsid w:val="00D53B75"/>
    <w:rsid w:val="00D569CE"/>
    <w:rsid w:val="00D56C2C"/>
    <w:rsid w:val="00D5725B"/>
    <w:rsid w:val="00D60098"/>
    <w:rsid w:val="00D61EE5"/>
    <w:rsid w:val="00D6228C"/>
    <w:rsid w:val="00D640B3"/>
    <w:rsid w:val="00D67994"/>
    <w:rsid w:val="00D704B2"/>
    <w:rsid w:val="00D7220B"/>
    <w:rsid w:val="00D72A9D"/>
    <w:rsid w:val="00D72AE1"/>
    <w:rsid w:val="00D74984"/>
    <w:rsid w:val="00D74A0A"/>
    <w:rsid w:val="00D76675"/>
    <w:rsid w:val="00D77CED"/>
    <w:rsid w:val="00D82194"/>
    <w:rsid w:val="00D836A7"/>
    <w:rsid w:val="00D855D9"/>
    <w:rsid w:val="00D87927"/>
    <w:rsid w:val="00D90AB8"/>
    <w:rsid w:val="00D91D27"/>
    <w:rsid w:val="00D92606"/>
    <w:rsid w:val="00D941E3"/>
    <w:rsid w:val="00DA225E"/>
    <w:rsid w:val="00DA3EA8"/>
    <w:rsid w:val="00DA4E47"/>
    <w:rsid w:val="00DA74D1"/>
    <w:rsid w:val="00DB1387"/>
    <w:rsid w:val="00DB2992"/>
    <w:rsid w:val="00DB340E"/>
    <w:rsid w:val="00DB37F6"/>
    <w:rsid w:val="00DB49D6"/>
    <w:rsid w:val="00DB5622"/>
    <w:rsid w:val="00DB70A3"/>
    <w:rsid w:val="00DC0FC1"/>
    <w:rsid w:val="00DC57E9"/>
    <w:rsid w:val="00DC7691"/>
    <w:rsid w:val="00DD2E20"/>
    <w:rsid w:val="00DD7579"/>
    <w:rsid w:val="00DE1159"/>
    <w:rsid w:val="00DE1810"/>
    <w:rsid w:val="00DE2848"/>
    <w:rsid w:val="00DE2E3C"/>
    <w:rsid w:val="00DE518E"/>
    <w:rsid w:val="00DE5295"/>
    <w:rsid w:val="00DE5C0F"/>
    <w:rsid w:val="00DE718B"/>
    <w:rsid w:val="00DE78A3"/>
    <w:rsid w:val="00DF0333"/>
    <w:rsid w:val="00DF0544"/>
    <w:rsid w:val="00DF0B71"/>
    <w:rsid w:val="00DF1244"/>
    <w:rsid w:val="00DF2F72"/>
    <w:rsid w:val="00DF54BE"/>
    <w:rsid w:val="00E00CFB"/>
    <w:rsid w:val="00E02AF1"/>
    <w:rsid w:val="00E03258"/>
    <w:rsid w:val="00E03AF6"/>
    <w:rsid w:val="00E1014A"/>
    <w:rsid w:val="00E1237B"/>
    <w:rsid w:val="00E148A3"/>
    <w:rsid w:val="00E14A01"/>
    <w:rsid w:val="00E170B2"/>
    <w:rsid w:val="00E20FC3"/>
    <w:rsid w:val="00E25D04"/>
    <w:rsid w:val="00E2657C"/>
    <w:rsid w:val="00E26EBB"/>
    <w:rsid w:val="00E27DE6"/>
    <w:rsid w:val="00E31405"/>
    <w:rsid w:val="00E328F2"/>
    <w:rsid w:val="00E32A8E"/>
    <w:rsid w:val="00E32C9F"/>
    <w:rsid w:val="00E358D6"/>
    <w:rsid w:val="00E412F0"/>
    <w:rsid w:val="00E46FCC"/>
    <w:rsid w:val="00E47718"/>
    <w:rsid w:val="00E5357C"/>
    <w:rsid w:val="00E55624"/>
    <w:rsid w:val="00E57346"/>
    <w:rsid w:val="00E609BF"/>
    <w:rsid w:val="00E64300"/>
    <w:rsid w:val="00E64A4A"/>
    <w:rsid w:val="00E665AD"/>
    <w:rsid w:val="00E66906"/>
    <w:rsid w:val="00E6755C"/>
    <w:rsid w:val="00E73016"/>
    <w:rsid w:val="00E74B10"/>
    <w:rsid w:val="00E75B16"/>
    <w:rsid w:val="00E7609D"/>
    <w:rsid w:val="00E82B00"/>
    <w:rsid w:val="00E82F62"/>
    <w:rsid w:val="00E83989"/>
    <w:rsid w:val="00E843E3"/>
    <w:rsid w:val="00E86B19"/>
    <w:rsid w:val="00E90638"/>
    <w:rsid w:val="00E917BB"/>
    <w:rsid w:val="00E94EF5"/>
    <w:rsid w:val="00E978B2"/>
    <w:rsid w:val="00EA2AC2"/>
    <w:rsid w:val="00EA3F44"/>
    <w:rsid w:val="00EA412C"/>
    <w:rsid w:val="00EA575B"/>
    <w:rsid w:val="00EC43BC"/>
    <w:rsid w:val="00EC67E5"/>
    <w:rsid w:val="00ED33D8"/>
    <w:rsid w:val="00ED6442"/>
    <w:rsid w:val="00ED6A21"/>
    <w:rsid w:val="00EE37E2"/>
    <w:rsid w:val="00EE494B"/>
    <w:rsid w:val="00EE6568"/>
    <w:rsid w:val="00EF34C8"/>
    <w:rsid w:val="00EF3964"/>
    <w:rsid w:val="00EF3A26"/>
    <w:rsid w:val="00EF4ABE"/>
    <w:rsid w:val="00EF5849"/>
    <w:rsid w:val="00EF723A"/>
    <w:rsid w:val="00EF7435"/>
    <w:rsid w:val="00F00123"/>
    <w:rsid w:val="00F01A7E"/>
    <w:rsid w:val="00F01D6E"/>
    <w:rsid w:val="00F02A10"/>
    <w:rsid w:val="00F03079"/>
    <w:rsid w:val="00F068C5"/>
    <w:rsid w:val="00F07C0C"/>
    <w:rsid w:val="00F11B31"/>
    <w:rsid w:val="00F12522"/>
    <w:rsid w:val="00F1277B"/>
    <w:rsid w:val="00F2092D"/>
    <w:rsid w:val="00F21A6E"/>
    <w:rsid w:val="00F21D7A"/>
    <w:rsid w:val="00F248DD"/>
    <w:rsid w:val="00F25920"/>
    <w:rsid w:val="00F25ED9"/>
    <w:rsid w:val="00F27DBC"/>
    <w:rsid w:val="00F30605"/>
    <w:rsid w:val="00F317C2"/>
    <w:rsid w:val="00F33518"/>
    <w:rsid w:val="00F36D68"/>
    <w:rsid w:val="00F37F55"/>
    <w:rsid w:val="00F42E82"/>
    <w:rsid w:val="00F4668F"/>
    <w:rsid w:val="00F46942"/>
    <w:rsid w:val="00F47117"/>
    <w:rsid w:val="00F4796C"/>
    <w:rsid w:val="00F50651"/>
    <w:rsid w:val="00F51244"/>
    <w:rsid w:val="00F51693"/>
    <w:rsid w:val="00F52FD6"/>
    <w:rsid w:val="00F57351"/>
    <w:rsid w:val="00F62B21"/>
    <w:rsid w:val="00F66546"/>
    <w:rsid w:val="00F66591"/>
    <w:rsid w:val="00F74532"/>
    <w:rsid w:val="00F76AC9"/>
    <w:rsid w:val="00F82D78"/>
    <w:rsid w:val="00F82FCD"/>
    <w:rsid w:val="00F92D1D"/>
    <w:rsid w:val="00F93F18"/>
    <w:rsid w:val="00F93F6B"/>
    <w:rsid w:val="00F95F2A"/>
    <w:rsid w:val="00FA5A67"/>
    <w:rsid w:val="00FA793E"/>
    <w:rsid w:val="00FB00D7"/>
    <w:rsid w:val="00FB2DC7"/>
    <w:rsid w:val="00FB2FB1"/>
    <w:rsid w:val="00FB3F72"/>
    <w:rsid w:val="00FB52DB"/>
    <w:rsid w:val="00FB63DD"/>
    <w:rsid w:val="00FB66AE"/>
    <w:rsid w:val="00FC11C0"/>
    <w:rsid w:val="00FC42CD"/>
    <w:rsid w:val="00FC43FC"/>
    <w:rsid w:val="00FD3652"/>
    <w:rsid w:val="00FD4F92"/>
    <w:rsid w:val="00FD6228"/>
    <w:rsid w:val="00FD6A8B"/>
    <w:rsid w:val="00FD79D3"/>
    <w:rsid w:val="00FE225D"/>
    <w:rsid w:val="00FE3B28"/>
    <w:rsid w:val="00FF2A38"/>
    <w:rsid w:val="00FF40F0"/>
    <w:rsid w:val="00FF43B9"/>
    <w:rsid w:val="00FF723B"/>
    <w:rsid w:val="00FF757B"/>
    <w:rsid w:val="0D89939F"/>
    <w:rsid w:val="38E4F7F3"/>
    <w:rsid w:val="3D42903A"/>
    <w:rsid w:val="64F97F21"/>
    <w:rsid w:val="73340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C8839"/>
  <w15:chartTrackingRefBased/>
  <w15:docId w15:val="{A1BED7D5-D03F-4F1A-8684-9312BBED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68C5"/>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F068C5"/>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260BD"/>
    <w:rPr>
      <w:color w:val="0000FF"/>
      <w:u w:val="single"/>
    </w:rPr>
  </w:style>
  <w:style w:type="character" w:customStyle="1" w:styleId="UnresolvedMention1">
    <w:name w:val="Unresolved Mention1"/>
    <w:basedOn w:val="DefaultParagraphFont"/>
    <w:uiPriority w:val="99"/>
    <w:semiHidden/>
    <w:unhideWhenUsed/>
    <w:rsid w:val="00537D1C"/>
    <w:rPr>
      <w:color w:val="605E5C"/>
      <w:shd w:val="clear" w:color="auto" w:fill="E1DFDD"/>
    </w:rPr>
  </w:style>
  <w:style w:type="paragraph" w:styleId="ListParagraph">
    <w:name w:val="List Paragraph"/>
    <w:basedOn w:val="Normal"/>
    <w:uiPriority w:val="34"/>
    <w:qFormat/>
    <w:rsid w:val="005B13D3"/>
    <w:pPr>
      <w:widowControl w:val="0"/>
      <w:autoSpaceDE w:val="0"/>
      <w:autoSpaceDN w:val="0"/>
      <w:spacing w:before="38" w:after="0" w:line="240" w:lineRule="auto"/>
      <w:ind w:left="2152" w:hanging="337"/>
    </w:pPr>
    <w:rPr>
      <w:rFonts w:ascii="Times New Roman" w:eastAsia="Times New Roman" w:hAnsi="Times New Roman" w:cs="Times New Roman"/>
      <w:lang w:val="en-US"/>
    </w:rPr>
  </w:style>
  <w:style w:type="paragraph" w:styleId="BodyText">
    <w:name w:val="Body Text"/>
    <w:basedOn w:val="Normal"/>
    <w:link w:val="BodyTextChar"/>
    <w:uiPriority w:val="1"/>
    <w:qFormat/>
    <w:rsid w:val="00553483"/>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55348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8F1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1D8"/>
    <w:rPr>
      <w:rFonts w:ascii="Segoe UI" w:hAnsi="Segoe UI" w:cs="Segoe UI"/>
      <w:sz w:val="18"/>
      <w:szCs w:val="18"/>
    </w:rPr>
  </w:style>
  <w:style w:type="paragraph" w:styleId="Header">
    <w:name w:val="header"/>
    <w:basedOn w:val="Normal"/>
    <w:link w:val="HeaderChar"/>
    <w:uiPriority w:val="99"/>
    <w:unhideWhenUsed/>
    <w:rsid w:val="00140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1F1"/>
  </w:style>
  <w:style w:type="paragraph" w:styleId="Footer">
    <w:name w:val="footer"/>
    <w:basedOn w:val="Normal"/>
    <w:link w:val="FooterChar"/>
    <w:uiPriority w:val="99"/>
    <w:unhideWhenUsed/>
    <w:rsid w:val="00140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1F1"/>
  </w:style>
  <w:style w:type="character" w:customStyle="1" w:styleId="Heading1Char">
    <w:name w:val="Heading 1 Char"/>
    <w:basedOn w:val="DefaultParagraphFont"/>
    <w:link w:val="Heading1"/>
    <w:uiPriority w:val="9"/>
    <w:rsid w:val="00F068C5"/>
    <w:rPr>
      <w:rFonts w:asciiTheme="majorHAnsi" w:eastAsiaTheme="majorEastAsia" w:hAnsiTheme="majorHAnsi" w:cstheme="majorBidi"/>
      <w:color w:val="2F5496" w:themeColor="accent1" w:themeShade="BF"/>
      <w:sz w:val="32"/>
      <w:szCs w:val="32"/>
      <w:lang w:val="en-US"/>
    </w:rPr>
  </w:style>
  <w:style w:type="character" w:customStyle="1" w:styleId="Heading2Char">
    <w:name w:val="Heading 2 Char"/>
    <w:basedOn w:val="DefaultParagraphFont"/>
    <w:link w:val="Heading2"/>
    <w:uiPriority w:val="9"/>
    <w:rsid w:val="00F068C5"/>
    <w:rPr>
      <w:rFonts w:asciiTheme="majorHAnsi" w:eastAsiaTheme="majorEastAsia" w:hAnsiTheme="majorHAnsi" w:cstheme="majorBidi"/>
      <w:color w:val="2F5496" w:themeColor="accent1" w:themeShade="BF"/>
      <w:sz w:val="26"/>
      <w:szCs w:val="26"/>
      <w:lang w:val="en-US"/>
    </w:rPr>
  </w:style>
  <w:style w:type="paragraph" w:styleId="CommentText">
    <w:name w:val="annotation text"/>
    <w:basedOn w:val="Normal"/>
    <w:link w:val="CommentTextChar"/>
    <w:uiPriority w:val="99"/>
    <w:unhideWhenUsed/>
    <w:rsid w:val="00F068C5"/>
    <w:pPr>
      <w:spacing w:line="240" w:lineRule="auto"/>
    </w:pPr>
    <w:rPr>
      <w:sz w:val="20"/>
      <w:szCs w:val="20"/>
      <w:lang w:val="en-US"/>
    </w:rPr>
  </w:style>
  <w:style w:type="character" w:customStyle="1" w:styleId="CommentTextChar">
    <w:name w:val="Comment Text Char"/>
    <w:basedOn w:val="DefaultParagraphFont"/>
    <w:link w:val="CommentText"/>
    <w:uiPriority w:val="99"/>
    <w:rsid w:val="00F068C5"/>
    <w:rPr>
      <w:sz w:val="20"/>
      <w:szCs w:val="20"/>
      <w:lang w:val="en-US"/>
    </w:rPr>
  </w:style>
  <w:style w:type="character" w:styleId="CommentReference">
    <w:name w:val="annotation reference"/>
    <w:basedOn w:val="DefaultParagraphFont"/>
    <w:uiPriority w:val="99"/>
    <w:unhideWhenUsed/>
    <w:rsid w:val="00F068C5"/>
    <w:rPr>
      <w:sz w:val="16"/>
      <w:szCs w:val="16"/>
    </w:rPr>
  </w:style>
  <w:style w:type="paragraph" w:styleId="CommentSubject">
    <w:name w:val="annotation subject"/>
    <w:basedOn w:val="CommentText"/>
    <w:next w:val="CommentText"/>
    <w:link w:val="CommentSubjectChar"/>
    <w:uiPriority w:val="99"/>
    <w:semiHidden/>
    <w:unhideWhenUsed/>
    <w:rsid w:val="00A712AF"/>
    <w:rPr>
      <w:b/>
      <w:bCs/>
      <w:lang w:val="en-AU"/>
    </w:rPr>
  </w:style>
  <w:style w:type="character" w:customStyle="1" w:styleId="CommentSubjectChar">
    <w:name w:val="Comment Subject Char"/>
    <w:basedOn w:val="CommentTextChar"/>
    <w:link w:val="CommentSubject"/>
    <w:uiPriority w:val="99"/>
    <w:semiHidden/>
    <w:rsid w:val="00A712AF"/>
    <w:rPr>
      <w:b/>
      <w:bCs/>
      <w:sz w:val="20"/>
      <w:szCs w:val="20"/>
      <w:lang w:val="en-US"/>
    </w:rPr>
  </w:style>
  <w:style w:type="character" w:styleId="FollowedHyperlink">
    <w:name w:val="FollowedHyperlink"/>
    <w:basedOn w:val="DefaultParagraphFont"/>
    <w:uiPriority w:val="99"/>
    <w:semiHidden/>
    <w:unhideWhenUsed/>
    <w:rsid w:val="00E47718"/>
    <w:rPr>
      <w:color w:val="954F72" w:themeColor="followedHyperlink"/>
      <w:u w:val="single"/>
    </w:rPr>
  </w:style>
  <w:style w:type="character" w:styleId="UnresolvedMention">
    <w:name w:val="Unresolved Mention"/>
    <w:basedOn w:val="DefaultParagraphFont"/>
    <w:uiPriority w:val="99"/>
    <w:semiHidden/>
    <w:unhideWhenUsed/>
    <w:rsid w:val="00E03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025">
      <w:bodyDiv w:val="1"/>
      <w:marLeft w:val="0"/>
      <w:marRight w:val="0"/>
      <w:marTop w:val="0"/>
      <w:marBottom w:val="0"/>
      <w:divBdr>
        <w:top w:val="none" w:sz="0" w:space="0" w:color="auto"/>
        <w:left w:val="none" w:sz="0" w:space="0" w:color="auto"/>
        <w:bottom w:val="none" w:sz="0" w:space="0" w:color="auto"/>
        <w:right w:val="none" w:sz="0" w:space="0" w:color="auto"/>
      </w:divBdr>
    </w:div>
    <w:div w:id="60374365">
      <w:bodyDiv w:val="1"/>
      <w:marLeft w:val="0"/>
      <w:marRight w:val="0"/>
      <w:marTop w:val="0"/>
      <w:marBottom w:val="0"/>
      <w:divBdr>
        <w:top w:val="none" w:sz="0" w:space="0" w:color="auto"/>
        <w:left w:val="none" w:sz="0" w:space="0" w:color="auto"/>
        <w:bottom w:val="none" w:sz="0" w:space="0" w:color="auto"/>
        <w:right w:val="none" w:sz="0" w:space="0" w:color="auto"/>
      </w:divBdr>
    </w:div>
    <w:div w:id="75519214">
      <w:bodyDiv w:val="1"/>
      <w:marLeft w:val="0"/>
      <w:marRight w:val="0"/>
      <w:marTop w:val="0"/>
      <w:marBottom w:val="0"/>
      <w:divBdr>
        <w:top w:val="none" w:sz="0" w:space="0" w:color="auto"/>
        <w:left w:val="none" w:sz="0" w:space="0" w:color="auto"/>
        <w:bottom w:val="none" w:sz="0" w:space="0" w:color="auto"/>
        <w:right w:val="none" w:sz="0" w:space="0" w:color="auto"/>
      </w:divBdr>
    </w:div>
    <w:div w:id="257057985">
      <w:bodyDiv w:val="1"/>
      <w:marLeft w:val="0"/>
      <w:marRight w:val="0"/>
      <w:marTop w:val="0"/>
      <w:marBottom w:val="0"/>
      <w:divBdr>
        <w:top w:val="none" w:sz="0" w:space="0" w:color="auto"/>
        <w:left w:val="none" w:sz="0" w:space="0" w:color="auto"/>
        <w:bottom w:val="none" w:sz="0" w:space="0" w:color="auto"/>
        <w:right w:val="none" w:sz="0" w:space="0" w:color="auto"/>
      </w:divBdr>
    </w:div>
    <w:div w:id="664669888">
      <w:bodyDiv w:val="1"/>
      <w:marLeft w:val="0"/>
      <w:marRight w:val="0"/>
      <w:marTop w:val="0"/>
      <w:marBottom w:val="0"/>
      <w:divBdr>
        <w:top w:val="none" w:sz="0" w:space="0" w:color="auto"/>
        <w:left w:val="none" w:sz="0" w:space="0" w:color="auto"/>
        <w:bottom w:val="none" w:sz="0" w:space="0" w:color="auto"/>
        <w:right w:val="none" w:sz="0" w:space="0" w:color="auto"/>
      </w:divBdr>
    </w:div>
    <w:div w:id="965083195">
      <w:bodyDiv w:val="1"/>
      <w:marLeft w:val="0"/>
      <w:marRight w:val="0"/>
      <w:marTop w:val="0"/>
      <w:marBottom w:val="0"/>
      <w:divBdr>
        <w:top w:val="none" w:sz="0" w:space="0" w:color="auto"/>
        <w:left w:val="none" w:sz="0" w:space="0" w:color="auto"/>
        <w:bottom w:val="none" w:sz="0" w:space="0" w:color="auto"/>
        <w:right w:val="none" w:sz="0" w:space="0" w:color="auto"/>
      </w:divBdr>
    </w:div>
    <w:div w:id="1021130889">
      <w:bodyDiv w:val="1"/>
      <w:marLeft w:val="0"/>
      <w:marRight w:val="0"/>
      <w:marTop w:val="0"/>
      <w:marBottom w:val="0"/>
      <w:divBdr>
        <w:top w:val="none" w:sz="0" w:space="0" w:color="auto"/>
        <w:left w:val="none" w:sz="0" w:space="0" w:color="auto"/>
        <w:bottom w:val="none" w:sz="0" w:space="0" w:color="auto"/>
        <w:right w:val="none" w:sz="0" w:space="0" w:color="auto"/>
      </w:divBdr>
    </w:div>
    <w:div w:id="1145128238">
      <w:bodyDiv w:val="1"/>
      <w:marLeft w:val="0"/>
      <w:marRight w:val="0"/>
      <w:marTop w:val="0"/>
      <w:marBottom w:val="0"/>
      <w:divBdr>
        <w:top w:val="none" w:sz="0" w:space="0" w:color="auto"/>
        <w:left w:val="none" w:sz="0" w:space="0" w:color="auto"/>
        <w:bottom w:val="none" w:sz="0" w:space="0" w:color="auto"/>
        <w:right w:val="none" w:sz="0" w:space="0" w:color="auto"/>
      </w:divBdr>
    </w:div>
    <w:div w:id="1179469975">
      <w:bodyDiv w:val="1"/>
      <w:marLeft w:val="0"/>
      <w:marRight w:val="0"/>
      <w:marTop w:val="0"/>
      <w:marBottom w:val="0"/>
      <w:divBdr>
        <w:top w:val="none" w:sz="0" w:space="0" w:color="auto"/>
        <w:left w:val="none" w:sz="0" w:space="0" w:color="auto"/>
        <w:bottom w:val="none" w:sz="0" w:space="0" w:color="auto"/>
        <w:right w:val="none" w:sz="0" w:space="0" w:color="auto"/>
      </w:divBdr>
    </w:div>
    <w:div w:id="1528985918">
      <w:bodyDiv w:val="1"/>
      <w:marLeft w:val="0"/>
      <w:marRight w:val="0"/>
      <w:marTop w:val="0"/>
      <w:marBottom w:val="0"/>
      <w:divBdr>
        <w:top w:val="none" w:sz="0" w:space="0" w:color="auto"/>
        <w:left w:val="none" w:sz="0" w:space="0" w:color="auto"/>
        <w:bottom w:val="none" w:sz="0" w:space="0" w:color="auto"/>
        <w:right w:val="none" w:sz="0" w:space="0" w:color="auto"/>
      </w:divBdr>
    </w:div>
    <w:div w:id="201175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aic.gov.au/consumer-data-right/guidance-and-advice/guide-to-developing-a-cdr-policy/"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yperlink" Target="https://www.accc.gov.au/system/files/CDR%20Rules%20Explanatory%20Statement%20-%206%20February%202020.pdf" TargetMode="External"/><Relationship Id="rId17" Type="http://schemas.openxmlformats.org/officeDocument/2006/relationships/footer" Target="footer2.xml"/><Relationship Id="rId25" Type="http://schemas.openxmlformats.org/officeDocument/2006/relationships/hyperlink" Target="https://www.oaic.gov.au/consumer-data-right/guidance-and-advice/guide-to-developing-a-cdr-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cc.gov.au/system/files/CDR%20Rules%20-%20Final%20-%206%20February%202020.pdf" TargetMode="External"/><Relationship Id="rId24" Type="http://schemas.openxmlformats.org/officeDocument/2006/relationships/hyperlink" Target="https://www.regionalaustraliabank.com.au/personal/support/outsourced-service-providers"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image" Target="media/image3.png"/><Relationship Id="rId10" Type="http://schemas.openxmlformats.org/officeDocument/2006/relationships/hyperlink" Target="https://www.regionalaustraliabank.com.au/our-cdr-policy"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s://www.oaic.gov.au/consumer-data-right/guidance-and-advice/guide-to-developing-a-cdr-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8DFBB5989734448E3866C14C29F48B" ma:contentTypeVersion="6" ma:contentTypeDescription="Create a new document." ma:contentTypeScope="" ma:versionID="efaa4711809854236a80705f33b1d3c5">
  <xsd:schema xmlns:xsd="http://www.w3.org/2001/XMLSchema" xmlns:xs="http://www.w3.org/2001/XMLSchema" xmlns:p="http://schemas.microsoft.com/office/2006/metadata/properties" xmlns:ns2="0acf19a6-cf90-4d05-ae4e-51d9bdbde330" xmlns:ns3="dd396b29-2fcf-46c3-b8b3-d7ecac521ac9" targetNamespace="http://schemas.microsoft.com/office/2006/metadata/properties" ma:root="true" ma:fieldsID="8baeca8e59b5da8c60951681382b16f7" ns2:_="" ns3:_="">
    <xsd:import namespace="0acf19a6-cf90-4d05-ae4e-51d9bdbde330"/>
    <xsd:import namespace="dd396b29-2fcf-46c3-b8b3-d7ecac521a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cf19a6-cf90-4d05-ae4e-51d9bdbde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396b29-2fcf-46c3-b8b3-d7ecac521a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43B09D-7BF5-4C82-BA0A-8C1F53C2EF44}">
  <ds:schemaRefs>
    <ds:schemaRef ds:uri="http://schemas.microsoft.com/sharepoint/v3/contenttype/forms"/>
  </ds:schemaRefs>
</ds:datastoreItem>
</file>

<file path=customXml/itemProps2.xml><?xml version="1.0" encoding="utf-8"?>
<ds:datastoreItem xmlns:ds="http://schemas.openxmlformats.org/officeDocument/2006/customXml" ds:itemID="{5214B03D-6EC7-46A9-85CE-BAD3DCB40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7447581-DF75-4E03-A011-C613E3188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cf19a6-cf90-4d05-ae4e-51d9bdbde330"/>
    <ds:schemaRef ds:uri="dd396b29-2fcf-46c3-b8b3-d7ecac521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19</Pages>
  <Words>4469</Words>
  <Characters>25474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Hale</dc:creator>
  <cp:keywords/>
  <dc:description/>
  <cp:lastModifiedBy>Rob Hale</cp:lastModifiedBy>
  <cp:revision>13</cp:revision>
  <dcterms:created xsi:type="dcterms:W3CDTF">2020-08-14T03:39:00Z</dcterms:created>
  <dcterms:modified xsi:type="dcterms:W3CDTF">2020-08-15T04:53:00Z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0x0101004E8DFBB5989734448E3866C14C29F48B</vt:lpwstr>
  </property>
</Properties>
</file>